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5D" w:rsidRDefault="00F81D77" w:rsidP="00FD46A1">
      <w:pPr>
        <w:spacing w:line="360" w:lineRule="auto"/>
        <w:jc w:val="center"/>
        <w:rPr>
          <w:b/>
          <w:sz w:val="28"/>
          <w:szCs w:val="28"/>
        </w:rPr>
      </w:pPr>
      <w:r w:rsidRPr="00F81D77">
        <w:rPr>
          <w:b/>
          <w:sz w:val="28"/>
          <w:szCs w:val="28"/>
        </w:rPr>
        <w:t>Fiskální decentralizace: případ Belgického království</w:t>
      </w:r>
    </w:p>
    <w:p w:rsidR="00152645" w:rsidRDefault="00152645" w:rsidP="00FD46A1">
      <w:pPr>
        <w:spacing w:line="360" w:lineRule="auto"/>
        <w:jc w:val="center"/>
        <w:rPr>
          <w:rStyle w:val="Zvraznn"/>
        </w:rPr>
      </w:pPr>
      <w:r>
        <w:rPr>
          <w:rStyle w:val="Zvraznn"/>
        </w:rPr>
        <w:t>Znaků (včetně mezer): 172</w:t>
      </w:r>
      <w:r w:rsidR="00F93E94">
        <w:rPr>
          <w:rStyle w:val="Zvraznn"/>
        </w:rPr>
        <w:t>83</w:t>
      </w:r>
    </w:p>
    <w:p w:rsidR="00F81D77" w:rsidRDefault="00F81D77" w:rsidP="00140B0F">
      <w:pPr>
        <w:spacing w:line="360" w:lineRule="auto"/>
        <w:jc w:val="both"/>
        <w:rPr>
          <w:rStyle w:val="Zvraznn"/>
        </w:rPr>
      </w:pPr>
    </w:p>
    <w:p w:rsidR="00F81D77" w:rsidRPr="00F81D77" w:rsidRDefault="00F81D77" w:rsidP="00140B0F">
      <w:pPr>
        <w:jc w:val="both"/>
        <w:rPr>
          <w:rStyle w:val="Zvraznn"/>
          <w:i w:val="0"/>
        </w:rPr>
      </w:pPr>
    </w:p>
    <w:p w:rsidR="006B2C0C" w:rsidRPr="00FD46A1" w:rsidRDefault="00FD46A1" w:rsidP="00140B0F">
      <w:pPr>
        <w:spacing w:line="360" w:lineRule="auto"/>
        <w:jc w:val="both"/>
        <w:rPr>
          <w:b/>
        </w:rPr>
      </w:pPr>
      <w:r w:rsidRPr="00FD46A1">
        <w:rPr>
          <w:b/>
        </w:rPr>
        <w:t>Úvod</w:t>
      </w:r>
    </w:p>
    <w:p w:rsidR="002469DD" w:rsidRDefault="00EA7E66" w:rsidP="00140B0F">
      <w:pPr>
        <w:pStyle w:val="Bezmezer"/>
        <w:ind w:firstLine="227"/>
        <w:jc w:val="both"/>
      </w:pPr>
      <w:r>
        <w:t xml:space="preserve">Na konci května roku 2011 </w:t>
      </w:r>
      <w:r w:rsidR="009B7135">
        <w:t xml:space="preserve">si někteří </w:t>
      </w:r>
      <w:r>
        <w:t>Be</w:t>
      </w:r>
      <w:r w:rsidR="009B7135">
        <w:t xml:space="preserve">lgičané připomněli </w:t>
      </w:r>
      <w:r>
        <w:t>rok marného hledání</w:t>
      </w:r>
      <w:r w:rsidR="009B7135">
        <w:t xml:space="preserve"> politické</w:t>
      </w:r>
      <w:r>
        <w:t xml:space="preserve"> vlády, která by</w:t>
      </w:r>
      <w:r w:rsidR="009B7135">
        <w:t xml:space="preserve"> u kormidla</w:t>
      </w:r>
      <w:r>
        <w:t xml:space="preserve"> </w:t>
      </w:r>
      <w:r w:rsidR="009B7135">
        <w:t xml:space="preserve">federace </w:t>
      </w:r>
      <w:r>
        <w:t xml:space="preserve">vystřídala udržovací vládu </w:t>
      </w:r>
      <w:proofErr w:type="spellStart"/>
      <w:r>
        <w:t>Letermovu</w:t>
      </w:r>
      <w:proofErr w:type="spellEnd"/>
      <w:r w:rsidR="009B7135">
        <w:t xml:space="preserve">. </w:t>
      </w:r>
      <w:r>
        <w:t xml:space="preserve">Politická reprezentace </w:t>
      </w:r>
      <w:r w:rsidR="009B7135">
        <w:t xml:space="preserve">se zdá být </w:t>
      </w:r>
      <w:r>
        <w:t>rozdělena více než kdy jindy a</w:t>
      </w:r>
      <w:r w:rsidR="00F81D77" w:rsidRPr="006B2C0C">
        <w:t xml:space="preserve"> </w:t>
      </w:r>
      <w:r w:rsidR="005B6B31">
        <w:rPr>
          <w:i/>
        </w:rPr>
        <w:t>l</w:t>
      </w:r>
      <w:r w:rsidR="00D671AE" w:rsidRPr="009B7135">
        <w:rPr>
          <w:i/>
        </w:rPr>
        <w:t xml:space="preserve">'union </w:t>
      </w:r>
      <w:proofErr w:type="spellStart"/>
      <w:r w:rsidR="00D671AE" w:rsidRPr="009B7135">
        <w:rPr>
          <w:i/>
        </w:rPr>
        <w:t>fait</w:t>
      </w:r>
      <w:proofErr w:type="spellEnd"/>
      <w:r w:rsidR="00D671AE" w:rsidRPr="009B7135">
        <w:rPr>
          <w:i/>
        </w:rPr>
        <w:t xml:space="preserve"> la </w:t>
      </w:r>
      <w:proofErr w:type="spellStart"/>
      <w:r w:rsidR="00D671AE" w:rsidRPr="009B7135">
        <w:rPr>
          <w:i/>
        </w:rPr>
        <w:t>force</w:t>
      </w:r>
      <w:proofErr w:type="spellEnd"/>
      <w:r w:rsidR="009B7135">
        <w:t>,</w:t>
      </w:r>
      <w:r w:rsidR="002469DD">
        <w:rPr>
          <w:rStyle w:val="Znakapoznpodarou"/>
        </w:rPr>
        <w:footnoteReference w:id="1"/>
      </w:r>
      <w:r w:rsidR="009B7135">
        <w:t xml:space="preserve"> heslo</w:t>
      </w:r>
      <w:r w:rsidR="002469DD">
        <w:t xml:space="preserve"> zdobící</w:t>
      </w:r>
      <w:r w:rsidR="009B7135">
        <w:t xml:space="preserve"> </w:t>
      </w:r>
      <w:r w:rsidR="00FD16CD">
        <w:t>státní</w:t>
      </w:r>
      <w:r w:rsidR="002469DD">
        <w:t xml:space="preserve"> znak</w:t>
      </w:r>
      <w:r w:rsidR="009B7135">
        <w:t xml:space="preserve"> </w:t>
      </w:r>
      <w:r w:rsidR="00833F9B">
        <w:t>země</w:t>
      </w:r>
      <w:r w:rsidR="009B7135">
        <w:t xml:space="preserve">, </w:t>
      </w:r>
      <w:r w:rsidR="002469DD">
        <w:t xml:space="preserve">těžko odolává ironickému úsměšku. </w:t>
      </w:r>
    </w:p>
    <w:p w:rsidR="002B4371" w:rsidRPr="002B4371" w:rsidRDefault="00FD16CD" w:rsidP="00140B0F">
      <w:pPr>
        <w:pStyle w:val="Bezmezer"/>
        <w:ind w:firstLine="227"/>
        <w:jc w:val="both"/>
      </w:pPr>
      <w:r>
        <w:t>Devoluční proces „</w:t>
      </w:r>
      <w:r w:rsidRPr="00FD16CD">
        <w:rPr>
          <w:i/>
        </w:rPr>
        <w:t xml:space="preserve">à la </w:t>
      </w:r>
      <w:proofErr w:type="spellStart"/>
      <w:r w:rsidRPr="00FD16CD">
        <w:rPr>
          <w:i/>
        </w:rPr>
        <w:t>belge</w:t>
      </w:r>
      <w:proofErr w:type="spellEnd"/>
      <w:r>
        <w:t xml:space="preserve">“, </w:t>
      </w:r>
      <w:r w:rsidR="002469DD">
        <w:t>jehož počátky jsou obvykle</w:t>
      </w:r>
      <w:r>
        <w:t xml:space="preserve"> umisťovány do 70. let 20. století, se v současné době pravděpodobně nachází na jistém rozcestí. </w:t>
      </w:r>
      <w:r w:rsidR="002B4371">
        <w:t xml:space="preserve">Přičemž patrně ústřední otázkou zůstává, zda belgický federalismus nebude jen „sametovým přechodem“ od unitárního státu ke konfederaci či rozpadu země </w:t>
      </w:r>
      <w:r w:rsidR="002B4371">
        <w:rPr>
          <w:lang w:val="en-US"/>
        </w:rPr>
        <w:t>[</w:t>
      </w:r>
      <w:proofErr w:type="spellStart"/>
      <w:r w:rsidR="002B4371">
        <w:t>Swenden</w:t>
      </w:r>
      <w:proofErr w:type="spellEnd"/>
      <w:r w:rsidR="002B4371">
        <w:t xml:space="preserve"> a </w:t>
      </w:r>
      <w:proofErr w:type="spellStart"/>
      <w:r w:rsidR="002B4371">
        <w:t>Jans</w:t>
      </w:r>
      <w:proofErr w:type="spellEnd"/>
      <w:r w:rsidR="002B4371">
        <w:t xml:space="preserve"> 2006: 892</w:t>
      </w:r>
      <w:r w:rsidR="002B4371">
        <w:rPr>
          <w:lang w:val="en-US"/>
        </w:rPr>
        <w:t xml:space="preserve">]. </w:t>
      </w:r>
    </w:p>
    <w:p w:rsidR="00EC680A" w:rsidRDefault="00EC680A" w:rsidP="00140B0F">
      <w:pPr>
        <w:pStyle w:val="Bezmezer"/>
        <w:ind w:firstLine="227"/>
        <w:jc w:val="both"/>
      </w:pPr>
      <w:r>
        <w:t xml:space="preserve">Paradoxně se ale zdá, že roční </w:t>
      </w:r>
      <w:r w:rsidR="007E3086">
        <w:t>„bezvládí“</w:t>
      </w:r>
      <w:r>
        <w:t xml:space="preserve"> má na běžný denní život jen malý dopad. Belgický žurnalista </w:t>
      </w:r>
      <w:proofErr w:type="spellStart"/>
      <w:r>
        <w:t>Gerrit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popsal situaci pro americkou rozhlasovou stanici</w:t>
      </w:r>
      <w:r w:rsidR="00C66D5B">
        <w:t xml:space="preserve"> NPR</w:t>
      </w:r>
      <w:r w:rsidR="000E1810">
        <w:t xml:space="preserve"> následovně</w:t>
      </w:r>
      <w:r>
        <w:t>:  „stále máme pět či šest jiných vlád (…), nepozorujeme větší rozdíl“</w:t>
      </w:r>
      <w:r w:rsidR="000E1810">
        <w:t>.</w:t>
      </w:r>
      <w:r w:rsidR="00F846C5">
        <w:rPr>
          <w:rStyle w:val="Znakapoznpodarou"/>
        </w:rPr>
        <w:footnoteReference w:id="2"/>
      </w:r>
      <w:r w:rsidR="00F846C5">
        <w:t xml:space="preserve"> </w:t>
      </w:r>
      <w:r>
        <w:t xml:space="preserve"> </w:t>
      </w:r>
    </w:p>
    <w:p w:rsidR="00F846C5" w:rsidRDefault="000E1810" w:rsidP="00140B0F">
      <w:pPr>
        <w:pStyle w:val="Bezmezer"/>
        <w:ind w:firstLine="227"/>
        <w:jc w:val="both"/>
      </w:pPr>
      <w:r>
        <w:t xml:space="preserve">Jistě proto není bez zajímavosti, do jaké míry jsou tyto vlády, o nichž </w:t>
      </w:r>
      <w:proofErr w:type="spellStart"/>
      <w:r>
        <w:t>Six</w:t>
      </w:r>
      <w:proofErr w:type="spellEnd"/>
      <w:r>
        <w:t xml:space="preserve"> hovoří, na centrální vládě nezávislé. </w:t>
      </w:r>
      <w:r w:rsidR="00F846C5">
        <w:t>Cílem této práce je pak přiblížit mí</w:t>
      </w:r>
      <w:r>
        <w:t>ru jejich fiskální autonomie.</w:t>
      </w:r>
    </w:p>
    <w:p w:rsidR="00FD46A1" w:rsidRDefault="00FD46A1" w:rsidP="00140B0F">
      <w:pPr>
        <w:pStyle w:val="Bezmezer"/>
        <w:ind w:firstLine="227"/>
        <w:jc w:val="both"/>
      </w:pPr>
    </w:p>
    <w:p w:rsidR="00C602A3" w:rsidRPr="0062273D" w:rsidRDefault="00C66D5B" w:rsidP="00140B0F">
      <w:pPr>
        <w:pStyle w:val="Bezmezer"/>
        <w:ind w:firstLine="227"/>
        <w:jc w:val="both"/>
      </w:pPr>
      <w:r>
        <w:t xml:space="preserve">Devoluce v Belgii probíhá v dvojité podobě. </w:t>
      </w:r>
      <w:r w:rsidR="009953F2">
        <w:t>Vzhledem ke kulturně-jazykovým specifikům země byl čistě terito</w:t>
      </w:r>
      <w:r w:rsidR="00040404">
        <w:t xml:space="preserve">riální rozměr devoluce zavržen </w:t>
      </w:r>
      <w:r w:rsidR="00040404" w:rsidRPr="00040404">
        <w:rPr>
          <w:lang w:val="en-US"/>
        </w:rPr>
        <w:t>[</w:t>
      </w:r>
      <w:proofErr w:type="spellStart"/>
      <w:r w:rsidR="00040404" w:rsidRPr="00040404">
        <w:t>Keating</w:t>
      </w:r>
      <w:proofErr w:type="spellEnd"/>
      <w:r w:rsidR="00040404" w:rsidRPr="00040404">
        <w:t xml:space="preserve"> </w:t>
      </w:r>
      <w:r w:rsidR="00BC5262">
        <w:t>2003</w:t>
      </w:r>
      <w:r w:rsidR="00040404" w:rsidRPr="00040404">
        <w:t>: 70</w:t>
      </w:r>
      <w:r w:rsidR="00040404" w:rsidRPr="00040404">
        <w:rPr>
          <w:lang w:val="en-US"/>
        </w:rPr>
        <w:t>]</w:t>
      </w:r>
      <w:r w:rsidR="00040404">
        <w:rPr>
          <w:lang w:val="en-US"/>
        </w:rPr>
        <w:t xml:space="preserve">. </w:t>
      </w:r>
      <w:r w:rsidR="009953F2">
        <w:t>Přijetí pouze geografického hlediska by Flandry, Valonsko, Brusel a německé kantony obdržel</w:t>
      </w:r>
      <w:r w:rsidR="0069132C">
        <w:t>y</w:t>
      </w:r>
      <w:r w:rsidR="009953F2">
        <w:t xml:space="preserve"> rovné pravomoci v kulturních </w:t>
      </w:r>
      <w:r w:rsidR="00C602A3">
        <w:t xml:space="preserve">a socioekonomických oblastech </w:t>
      </w:r>
      <w:r w:rsidR="00C602A3">
        <w:rPr>
          <w:lang w:val="en-US"/>
        </w:rPr>
        <w:t>[</w:t>
      </w:r>
      <w:proofErr w:type="spellStart"/>
      <w:r w:rsidR="00BC5262">
        <w:t>Hong</w:t>
      </w:r>
      <w:proofErr w:type="spellEnd"/>
      <w:r w:rsidR="00C602A3">
        <w:t xml:space="preserve"> 2002: 180</w:t>
      </w:r>
      <w:r w:rsidR="00C602A3">
        <w:rPr>
          <w:lang w:val="en-US"/>
        </w:rPr>
        <w:t xml:space="preserve">]. </w:t>
      </w:r>
      <w:r w:rsidR="00C602A3" w:rsidRPr="00FD46A1">
        <w:t>Takovému řešení</w:t>
      </w:r>
      <w:r w:rsidR="00C602A3">
        <w:t xml:space="preserve"> však zabránil Brusel, většinově frankofonní město. Vlámští politici nebyli ochotni ponechat vlámskou menšinu pod frankofonní vládou</w:t>
      </w:r>
      <w:r w:rsidR="0069132C">
        <w:t xml:space="preserve"> a</w:t>
      </w:r>
      <w:r w:rsidR="00C602A3">
        <w:t xml:space="preserve"> stejně tak se nechtěli vzdát nároků na město, které je ekonomickým centrem </w:t>
      </w:r>
      <w:r w:rsidR="0069132C">
        <w:t xml:space="preserve">Flander </w:t>
      </w:r>
      <w:r w:rsidR="00C602A3">
        <w:t xml:space="preserve">a které bylo ještě v předminulém století většinově </w:t>
      </w:r>
      <w:r w:rsidR="0062273D">
        <w:t xml:space="preserve">vlámsky hovořící </w:t>
      </w:r>
      <w:r w:rsidR="0062273D">
        <w:rPr>
          <w:lang w:val="en-US"/>
        </w:rPr>
        <w:t>[</w:t>
      </w:r>
      <w:proofErr w:type="spellStart"/>
      <w:r w:rsidR="0062273D">
        <w:t>Keating</w:t>
      </w:r>
      <w:proofErr w:type="spellEnd"/>
      <w:r w:rsidR="0062273D">
        <w:t xml:space="preserve"> </w:t>
      </w:r>
      <w:r w:rsidR="00BC5262">
        <w:t>2003</w:t>
      </w:r>
      <w:r w:rsidR="0062273D">
        <w:t>: 70</w:t>
      </w:r>
      <w:r w:rsidR="0062273D">
        <w:rPr>
          <w:lang w:val="en-US"/>
        </w:rPr>
        <w:t>]</w:t>
      </w:r>
    </w:p>
    <w:p w:rsidR="00040404" w:rsidRDefault="0062273D" w:rsidP="0069132C">
      <w:pPr>
        <w:pStyle w:val="Bezmezer"/>
        <w:ind w:firstLine="227"/>
        <w:jc w:val="both"/>
      </w:pPr>
      <w:r>
        <w:t xml:space="preserve">Teritoriální devoluce tak bylo doplněna o kulturně-jazykovou stránku. V rámci ústavní reformy 1970 byla vytvořena tři jazyková společenství </w:t>
      </w:r>
      <w:r w:rsidR="0069132C">
        <w:t xml:space="preserve"> (v</w:t>
      </w:r>
      <w:r>
        <w:t xml:space="preserve">lámské, </w:t>
      </w:r>
      <w:r w:rsidR="0069132C">
        <w:t>f</w:t>
      </w:r>
      <w:r>
        <w:t xml:space="preserve">rancouzské a </w:t>
      </w:r>
      <w:r w:rsidR="0069132C">
        <w:t>n</w:t>
      </w:r>
      <w:r>
        <w:t>ěmecké</w:t>
      </w:r>
      <w:r w:rsidR="0069132C">
        <w:t>)</w:t>
      </w:r>
      <w:r>
        <w:t xml:space="preserve"> a tři regiony</w:t>
      </w:r>
      <w:r w:rsidR="0069132C">
        <w:t xml:space="preserve"> –</w:t>
      </w:r>
      <w:r w:rsidR="003104B8">
        <w:t xml:space="preserve"> Flandry, Valonsko a Brusel. Devoluce od té doby významně pokročila. </w:t>
      </w:r>
      <w:r w:rsidR="00040404">
        <w:t>Milník</w:t>
      </w:r>
      <w:r w:rsidR="003104B8">
        <w:t xml:space="preserve"> </w:t>
      </w:r>
      <w:r w:rsidR="00040404">
        <w:t>v</w:t>
      </w:r>
      <w:r w:rsidR="0069132C">
        <w:t> </w:t>
      </w:r>
      <w:r w:rsidR="00040404">
        <w:t>devoluci</w:t>
      </w:r>
      <w:r w:rsidR="0069132C">
        <w:t xml:space="preserve"> pak</w:t>
      </w:r>
      <w:r w:rsidR="00040404">
        <w:t xml:space="preserve"> představuje</w:t>
      </w:r>
      <w:r w:rsidR="003104B8">
        <w:t xml:space="preserve"> přijetí nové ústavy v roce 1993, kterou </w:t>
      </w:r>
      <w:r w:rsidR="00040404">
        <w:t xml:space="preserve">se </w:t>
      </w:r>
      <w:r w:rsidR="003104B8">
        <w:t>Belgie</w:t>
      </w:r>
      <w:r w:rsidR="00040404">
        <w:t xml:space="preserve"> stala federací. Na rozdíl od většiny tradičních federací, kde bylo hybnou silou spojování států, kantonů či kolonií v jeden politický celek</w:t>
      </w:r>
      <w:r w:rsidR="005C09EB">
        <w:t xml:space="preserve"> (tzv. </w:t>
      </w:r>
      <w:r w:rsidR="005C09EB" w:rsidRPr="005C09EB">
        <w:rPr>
          <w:i/>
        </w:rPr>
        <w:t>federalizace agregací</w:t>
      </w:r>
      <w:r w:rsidR="005C09EB">
        <w:t>)</w:t>
      </w:r>
      <w:r w:rsidR="00040404">
        <w:t xml:space="preserve">, bylo v Belgii (podobně jako ve Španělsku) primární motivací udržení celistvosti </w:t>
      </w:r>
      <w:r w:rsidR="00057427">
        <w:t>země</w:t>
      </w:r>
      <w:r w:rsidR="005C09EB">
        <w:t xml:space="preserve"> (tzv. </w:t>
      </w:r>
      <w:r w:rsidR="005C09EB" w:rsidRPr="005C09EB">
        <w:rPr>
          <w:i/>
        </w:rPr>
        <w:t xml:space="preserve">federalizace </w:t>
      </w:r>
      <w:proofErr w:type="spellStart"/>
      <w:r w:rsidR="005C09EB" w:rsidRPr="005C09EB">
        <w:rPr>
          <w:i/>
        </w:rPr>
        <w:t>desagregací</w:t>
      </w:r>
      <w:proofErr w:type="spellEnd"/>
      <w:r w:rsidR="005C09EB">
        <w:t>)</w:t>
      </w:r>
      <w:r w:rsidR="00FD46A1">
        <w:t xml:space="preserve"> </w:t>
      </w:r>
      <w:r w:rsidR="0069132C" w:rsidRPr="0069132C">
        <w:rPr>
          <w:lang w:val="en-US"/>
        </w:rPr>
        <w:t>[</w:t>
      </w:r>
      <w:proofErr w:type="spellStart"/>
      <w:r w:rsidR="0069132C" w:rsidRPr="0069132C">
        <w:t>Swenden</w:t>
      </w:r>
      <w:proofErr w:type="spellEnd"/>
      <w:r w:rsidR="0069132C">
        <w:t xml:space="preserve"> </w:t>
      </w:r>
      <w:proofErr w:type="spellStart"/>
      <w:r w:rsidR="0069132C">
        <w:t>et</w:t>
      </w:r>
      <w:proofErr w:type="spellEnd"/>
      <w:r w:rsidR="0069132C">
        <w:t xml:space="preserve"> </w:t>
      </w:r>
      <w:proofErr w:type="spellStart"/>
      <w:r w:rsidR="0069132C">
        <w:t>al</w:t>
      </w:r>
      <w:proofErr w:type="spellEnd"/>
      <w:r w:rsidR="0069132C">
        <w:t>.</w:t>
      </w:r>
      <w:r w:rsidR="0069132C" w:rsidRPr="0069132C">
        <w:t xml:space="preserve"> 2006: </w:t>
      </w:r>
      <w:r w:rsidR="0069132C">
        <w:t>864</w:t>
      </w:r>
      <w:r w:rsidR="0069132C" w:rsidRPr="0069132C">
        <w:rPr>
          <w:lang w:val="en-US"/>
        </w:rPr>
        <w:t>]</w:t>
      </w:r>
      <w:r w:rsidR="0069132C">
        <w:rPr>
          <w:lang w:val="en-US"/>
        </w:rPr>
        <w:t>.</w:t>
      </w:r>
      <w:r w:rsidR="0069132C" w:rsidRPr="0069132C">
        <w:t xml:space="preserve"> </w:t>
      </w:r>
      <w:r w:rsidR="00417A3F">
        <w:t>Ovšem na rozdíl od Špa</w:t>
      </w:r>
      <w:r w:rsidR="00C17732">
        <w:t>nělska byl proces vývoje regionálních institucí významně pomalejší, a to především díky určité n</w:t>
      </w:r>
      <w:r w:rsidR="0069132C">
        <w:t xml:space="preserve">eochotě centrální vlády oslabit svou </w:t>
      </w:r>
      <w:r w:rsidR="00C17732">
        <w:t>politickou kontrolu, a to</w:t>
      </w:r>
      <w:r w:rsidR="005C09EB">
        <w:t xml:space="preserve"> jak</w:t>
      </w:r>
      <w:r w:rsidR="00C17732">
        <w:t xml:space="preserve"> na úrovni horizontální (úroveň centrálních institucí)</w:t>
      </w:r>
      <w:r w:rsidR="005C09EB">
        <w:t>, tak</w:t>
      </w:r>
      <w:r w:rsidR="00C17732">
        <w:t xml:space="preserve"> vertikální (mezi centrem a regiony) </w:t>
      </w:r>
      <w:r w:rsidR="00040404">
        <w:rPr>
          <w:lang w:val="en-US"/>
        </w:rPr>
        <w:t>[</w:t>
      </w:r>
      <w:proofErr w:type="spellStart"/>
      <w:r w:rsidR="00040404">
        <w:t>Swenden</w:t>
      </w:r>
      <w:proofErr w:type="spellEnd"/>
      <w:r w:rsidR="00040404">
        <w:t xml:space="preserve"> a </w:t>
      </w:r>
      <w:proofErr w:type="spellStart"/>
      <w:r w:rsidR="00040404">
        <w:t>Jans</w:t>
      </w:r>
      <w:proofErr w:type="spellEnd"/>
      <w:r w:rsidR="00040404">
        <w:t xml:space="preserve"> 2006: 877-878</w:t>
      </w:r>
      <w:r w:rsidR="00040404">
        <w:rPr>
          <w:lang w:val="en-US"/>
        </w:rPr>
        <w:t>]</w:t>
      </w:r>
      <w:r w:rsidR="00417A3F">
        <w:t xml:space="preserve">. </w:t>
      </w:r>
    </w:p>
    <w:p w:rsidR="005C09EB" w:rsidRDefault="003104B8" w:rsidP="00140B0F">
      <w:pPr>
        <w:pStyle w:val="Bezmezer"/>
        <w:ind w:firstLine="227"/>
        <w:jc w:val="both"/>
      </w:pPr>
      <w:r>
        <w:t xml:space="preserve"> </w:t>
      </w:r>
      <w:r w:rsidR="005C09EB">
        <w:t xml:space="preserve">Zvláštním důsledkem toho je, že jak společenstvím, tak regionům byly přiznány poměrně široké kompetence. Odvrácenou stranou dosažené „kompetenční“ autonomie je </w:t>
      </w:r>
      <w:r w:rsidR="006339A5">
        <w:t xml:space="preserve">ale </w:t>
      </w:r>
      <w:r w:rsidR="005C09EB">
        <w:t xml:space="preserve">stále poměrně nízká úroveň autonomie fiskální. </w:t>
      </w:r>
    </w:p>
    <w:p w:rsidR="00456443" w:rsidRDefault="001D3B59" w:rsidP="00140B0F">
      <w:pPr>
        <w:pStyle w:val="Bezmezer"/>
        <w:ind w:firstLine="227"/>
        <w:jc w:val="both"/>
      </w:pPr>
      <w:r>
        <w:t xml:space="preserve">O fiskální autonomii hovoříme tehdy, jsou-li </w:t>
      </w:r>
      <w:proofErr w:type="spellStart"/>
      <w:r>
        <w:t>podstátní</w:t>
      </w:r>
      <w:proofErr w:type="spellEnd"/>
      <w:r>
        <w:t xml:space="preserve"> vládní úrovně oprávněny získávat vlastní příjmy, tedy moh</w:t>
      </w:r>
      <w:r w:rsidR="00375AFF">
        <w:t xml:space="preserve">ou-li vypisovat a vybírat daně. Jak ukázal </w:t>
      </w:r>
      <w:proofErr w:type="spellStart"/>
      <w:r w:rsidR="00375AFF">
        <w:t>Okyeon</w:t>
      </w:r>
      <w:proofErr w:type="spellEnd"/>
      <w:r w:rsidR="00375AFF">
        <w:t xml:space="preserve"> </w:t>
      </w:r>
      <w:proofErr w:type="spellStart"/>
      <w:r w:rsidR="00375AFF">
        <w:t>Yi</w:t>
      </w:r>
      <w:proofErr w:type="spellEnd"/>
      <w:r w:rsidR="00375AFF">
        <w:t xml:space="preserve"> </w:t>
      </w:r>
      <w:proofErr w:type="spellStart"/>
      <w:r w:rsidR="00375AFF">
        <w:t>Hong</w:t>
      </w:r>
      <w:proofErr w:type="spellEnd"/>
      <w:r w:rsidR="00375AFF">
        <w:t xml:space="preserve"> ve své studii</w:t>
      </w:r>
      <w:r w:rsidR="006339A5">
        <w:t xml:space="preserve"> </w:t>
      </w:r>
      <w:r w:rsidR="00375AFF">
        <w:t>fiskální centralizace v 15 rozvinutých demokraciích (v letech 1960-1995)</w:t>
      </w:r>
      <w:r w:rsidR="00CA44FA">
        <w:t xml:space="preserve">, ve všech </w:t>
      </w:r>
      <w:r w:rsidR="00CA44FA">
        <w:lastRenderedPageBreak/>
        <w:t xml:space="preserve">zkoumaných demokratických státech je normou tzv. </w:t>
      </w:r>
      <w:r w:rsidR="00CA44FA" w:rsidRPr="00CA44FA">
        <w:t>vertikální fiskální nerovn</w:t>
      </w:r>
      <w:r w:rsidR="00FD46A1">
        <w:t>ov</w:t>
      </w:r>
      <w:r w:rsidR="00CA44FA" w:rsidRPr="00CA44FA">
        <w:t>áha,</w:t>
      </w:r>
      <w:r w:rsidR="00CA44FA">
        <w:t xml:space="preserve"> tj.</w:t>
      </w:r>
      <w:r w:rsidR="00CA44FA" w:rsidRPr="00CA44FA">
        <w:t xml:space="preserve"> míra centralizace daňového systému </w:t>
      </w:r>
      <w:r w:rsidR="00CA44FA">
        <w:t xml:space="preserve">je </w:t>
      </w:r>
      <w:r w:rsidR="00CA44FA" w:rsidRPr="00CA44FA">
        <w:t>vyšší než míra centralizace</w:t>
      </w:r>
      <w:r w:rsidR="00CA44FA">
        <w:t xml:space="preserve"> výdajů (tj. rozdíl mezi výdaji a příjmy na každé úrovni vládnutí). Zároveň ale upozorňuje, že</w:t>
      </w:r>
      <w:r w:rsidR="00375AFF">
        <w:t xml:space="preserve"> trend decentralizace daňového systému je vlastní všem vyspělým demokracií</w:t>
      </w:r>
      <w:r w:rsidR="00CA44FA">
        <w:t>m – nicméně</w:t>
      </w:r>
      <w:r>
        <w:t xml:space="preserve"> míra </w:t>
      </w:r>
      <w:r w:rsidR="00375AFF">
        <w:t xml:space="preserve">a tempo </w:t>
      </w:r>
      <w:r>
        <w:t xml:space="preserve">decentralizace se významně liší </w:t>
      </w:r>
      <w:r w:rsidRPr="001D3B59">
        <w:rPr>
          <w:lang w:val="en-US"/>
        </w:rPr>
        <w:t>[</w:t>
      </w:r>
      <w:proofErr w:type="spellStart"/>
      <w:r w:rsidRPr="001D3B59">
        <w:t>Hong</w:t>
      </w:r>
      <w:proofErr w:type="spellEnd"/>
      <w:r w:rsidRPr="001D3B59">
        <w:t xml:space="preserve"> 2002: </w:t>
      </w:r>
      <w:r w:rsidR="00CA44FA">
        <w:t>208-237</w:t>
      </w:r>
      <w:r w:rsidRPr="001D3B59">
        <w:rPr>
          <w:lang w:val="en-US"/>
        </w:rPr>
        <w:t>].</w:t>
      </w:r>
      <w:r w:rsidR="00375AFF">
        <w:rPr>
          <w:lang w:val="en-US"/>
        </w:rPr>
        <w:t xml:space="preserve"> </w:t>
      </w:r>
      <w:r w:rsidR="00FD46A1" w:rsidRPr="00FD46A1">
        <w:t xml:space="preserve">Jak je tomu </w:t>
      </w:r>
      <w:r w:rsidR="006339A5">
        <w:t xml:space="preserve">tedy </w:t>
      </w:r>
      <w:r w:rsidR="00FD46A1" w:rsidRPr="00FD46A1">
        <w:t>v</w:t>
      </w:r>
      <w:r w:rsidR="00D77C33" w:rsidRPr="00FD46A1">
        <w:t xml:space="preserve"> případě Belgického království</w:t>
      </w:r>
      <w:r w:rsidR="00FD46A1" w:rsidRPr="00FD46A1">
        <w:t>?</w:t>
      </w:r>
      <w:r w:rsidR="00D77C33" w:rsidRPr="00417C80">
        <w:t xml:space="preserve"> </w:t>
      </w:r>
    </w:p>
    <w:p w:rsidR="00FD46A1" w:rsidRDefault="00FD46A1" w:rsidP="00140B0F">
      <w:pPr>
        <w:pStyle w:val="Bezmezer"/>
        <w:ind w:firstLine="227"/>
        <w:jc w:val="both"/>
        <w:rPr>
          <w:lang w:val="en-US"/>
        </w:rPr>
      </w:pPr>
    </w:p>
    <w:p w:rsidR="006339A5" w:rsidRPr="00152645" w:rsidRDefault="006339A5" w:rsidP="006339A5">
      <w:pPr>
        <w:rPr>
          <w:b/>
        </w:rPr>
      </w:pPr>
      <w:r w:rsidRPr="00152645">
        <w:rPr>
          <w:b/>
        </w:rPr>
        <w:t>Společenství a regiony</w:t>
      </w:r>
    </w:p>
    <w:p w:rsidR="006339A5" w:rsidRPr="00152645" w:rsidRDefault="006339A5" w:rsidP="006339A5">
      <w:pPr>
        <w:pStyle w:val="Bezmezer"/>
        <w:jc w:val="both"/>
      </w:pPr>
    </w:p>
    <w:p w:rsidR="00E504B5" w:rsidRPr="00625062" w:rsidRDefault="00456443" w:rsidP="006339A5">
      <w:pPr>
        <w:pStyle w:val="Bezmezer"/>
        <w:ind w:firstLine="227"/>
        <w:jc w:val="both"/>
      </w:pPr>
      <w:proofErr w:type="spellStart"/>
      <w:r>
        <w:rPr>
          <w:lang w:val="en-US"/>
        </w:rPr>
        <w:t>Jak</w:t>
      </w:r>
      <w:proofErr w:type="spellEnd"/>
      <w:r>
        <w:rPr>
          <w:lang w:val="en-US"/>
        </w:rPr>
        <w:t xml:space="preserve"> v </w:t>
      </w:r>
      <w:r>
        <w:t>případě společenství, tak regionů došlo od roku 1970 k významnému rozšíření kompetencí.</w:t>
      </w:r>
      <w:r w:rsidR="006339A5">
        <w:t xml:space="preserve"> S</w:t>
      </w:r>
      <w:r>
        <w:t>polečenstvím bylo v roce 1970 povoleno legislativně regulovat užívání  jazyka a formulovat kulturní politiku. V rámci institucionální reformy v roce 1980 přibyly kompetence v oblasti tzv. „personalizovaných záležitostech,“ kam připadla zdravotní pol</w:t>
      </w:r>
      <w:r w:rsidR="00E504B5">
        <w:t>itika a asistence jednotlivcům</w:t>
      </w:r>
      <w:r w:rsidR="006339A5">
        <w:t xml:space="preserve"> –</w:t>
      </w:r>
      <w:r w:rsidR="00E504B5">
        <w:t xml:space="preserve"> v roce 1988 také vzdělávací systém. V rámci změn 1992</w:t>
      </w:r>
      <w:r w:rsidR="006339A5">
        <w:t>/</w:t>
      </w:r>
      <w:r w:rsidR="00E504B5">
        <w:t>1993 pak byly rozšířeny kompetence v oblasti sociální asistence a zahraniční spolupráce ve sférách spadajíc</w:t>
      </w:r>
      <w:r w:rsidR="00625062">
        <w:t xml:space="preserve">ích do kompetence společenství </w:t>
      </w:r>
      <w:r w:rsidR="00625062">
        <w:rPr>
          <w:lang w:val="en-US"/>
        </w:rPr>
        <w:t>[</w:t>
      </w:r>
      <w:proofErr w:type="spellStart"/>
      <w:r w:rsidR="000E2791">
        <w:t>Swenden</w:t>
      </w:r>
      <w:proofErr w:type="spellEnd"/>
      <w:r w:rsidR="000E2791">
        <w:t xml:space="preserve">, </w:t>
      </w:r>
      <w:proofErr w:type="spellStart"/>
      <w:r w:rsidR="000E2791">
        <w:t>Brans</w:t>
      </w:r>
      <w:proofErr w:type="spellEnd"/>
      <w:r w:rsidR="000E2791">
        <w:t xml:space="preserve"> a de Winter 2006: </w:t>
      </w:r>
      <w:r w:rsidR="006339A5">
        <w:t>865-868</w:t>
      </w:r>
      <w:r w:rsidR="000E2791">
        <w:rPr>
          <w:lang w:val="en-US"/>
        </w:rPr>
        <w:t>]</w:t>
      </w:r>
      <w:r w:rsidR="006339A5">
        <w:rPr>
          <w:lang w:val="en-US"/>
        </w:rPr>
        <w:t>.</w:t>
      </w:r>
      <w:r w:rsidR="000E2791">
        <w:t xml:space="preserve"> </w:t>
      </w:r>
    </w:p>
    <w:p w:rsidR="0045021B" w:rsidRPr="00B96340" w:rsidRDefault="00E504B5" w:rsidP="00140B0F">
      <w:pPr>
        <w:pStyle w:val="Bezmezer"/>
        <w:jc w:val="both"/>
        <w:rPr>
          <w:lang w:val="en-US"/>
        </w:rPr>
      </w:pPr>
      <w:r>
        <w:tab/>
        <w:t xml:space="preserve">Přestože došlo k rozšíření oblastí, za než jsou společenství odpovědná, principy jejich  financování zůstávají v čase stejné. </w:t>
      </w:r>
      <w:r w:rsidR="00B20F2E">
        <w:t xml:space="preserve">Následkem zahrnutí vzdělávání do kompetencí společenství a s tím spojeného podstatného nárůstu výdajů, byl v roce 1989 přijat </w:t>
      </w:r>
      <w:r>
        <w:t>Zákon o zvláštním financování</w:t>
      </w:r>
      <w:r w:rsidR="00B20F2E">
        <w:t>. Ten stanoví mechanismus financování, v rámci něhož je preferována finanční au</w:t>
      </w:r>
      <w:r w:rsidR="006339A5">
        <w:t xml:space="preserve">tonomie před autonomií fiskální </w:t>
      </w:r>
      <w:r w:rsidR="006339A5" w:rsidRPr="006339A5">
        <w:rPr>
          <w:lang w:val="en-US"/>
        </w:rPr>
        <w:t>[</w:t>
      </w:r>
      <w:proofErr w:type="spellStart"/>
      <w:r w:rsidR="006339A5" w:rsidRPr="006339A5">
        <w:t>Stichele</w:t>
      </w:r>
      <w:proofErr w:type="spellEnd"/>
      <w:r w:rsidR="006339A5" w:rsidRPr="006339A5">
        <w:t xml:space="preserve"> a </w:t>
      </w:r>
      <w:proofErr w:type="spellStart"/>
      <w:r w:rsidR="006339A5" w:rsidRPr="006339A5">
        <w:t>Verdonck</w:t>
      </w:r>
      <w:proofErr w:type="spellEnd"/>
      <w:r w:rsidR="006339A5" w:rsidRPr="006339A5">
        <w:t xml:space="preserve"> 2002</w:t>
      </w:r>
      <w:r w:rsidR="006339A5" w:rsidRPr="006339A5">
        <w:rPr>
          <w:lang w:val="en-US"/>
        </w:rPr>
        <w:t>].</w:t>
      </w:r>
      <w:r w:rsidR="00B20F2E">
        <w:t xml:space="preserve"> Společenství mohou volně nakládat s vlastními prostředky (finanční</w:t>
      </w:r>
      <w:r w:rsidR="009E01DE">
        <w:t xml:space="preserve"> autonomie), zároveň ale </w:t>
      </w:r>
      <w:r w:rsidR="00B20F2E">
        <w:t>nejsou oprávněna k výběru daní a nemohou přímo ovlivnit výši ani zdroje svých příjmů</w:t>
      </w:r>
      <w:r w:rsidR="009E01DE">
        <w:t xml:space="preserve"> (fiskální nesvébytnost)</w:t>
      </w:r>
      <w:r w:rsidR="00B20F2E">
        <w:t>. Veškeré příjmy plynou z vládních transferů</w:t>
      </w:r>
      <w:r w:rsidR="009E01DE">
        <w:t xml:space="preserve">. Ty se alokují ze třech zdrojů. První a dominantní </w:t>
      </w:r>
      <w:r w:rsidR="002C6BC8">
        <w:t>jsou</w:t>
      </w:r>
      <w:r w:rsidR="009E01DE">
        <w:t xml:space="preserve"> </w:t>
      </w:r>
      <w:r w:rsidR="0045021B">
        <w:t>podíly</w:t>
      </w:r>
      <w:r w:rsidR="009E01DE">
        <w:t xml:space="preserve"> z výběru daně z přidané </w:t>
      </w:r>
      <w:r w:rsidR="0045021B">
        <w:t>hodnoty</w:t>
      </w:r>
      <w:r w:rsidR="002C6BC8">
        <w:t xml:space="preserve"> (DPH)</w:t>
      </w:r>
      <w:r w:rsidR="0045021B">
        <w:t xml:space="preserve"> a</w:t>
      </w:r>
      <w:r w:rsidR="006339A5">
        <w:t xml:space="preserve"> z daně z příjmu fyzických osob. D</w:t>
      </w:r>
      <w:r w:rsidR="0045021B">
        <w:t>ruhý představují p</w:t>
      </w:r>
      <w:r w:rsidR="009E01DE">
        <w:t>oplatky za</w:t>
      </w:r>
      <w:r w:rsidR="0045021B">
        <w:t xml:space="preserve"> rozhlaso</w:t>
      </w:r>
      <w:r w:rsidR="00430674">
        <w:t>vý</w:t>
      </w:r>
      <w:r w:rsidR="0045021B">
        <w:t xml:space="preserve"> a televizní </w:t>
      </w:r>
      <w:r w:rsidR="00430674">
        <w:t xml:space="preserve">přijímač </w:t>
      </w:r>
      <w:r w:rsidR="009E01DE">
        <w:t xml:space="preserve">(v tomto případě došlo </w:t>
      </w:r>
      <w:r w:rsidR="0045021B">
        <w:t xml:space="preserve">v roce 2001 </w:t>
      </w:r>
      <w:r w:rsidR="006339A5">
        <w:t xml:space="preserve">k „regionalizaci“, </w:t>
      </w:r>
      <w:r w:rsidR="00430674">
        <w:t>viz níže</w:t>
      </w:r>
      <w:r w:rsidR="009E01DE">
        <w:t>)</w:t>
      </w:r>
      <w:r w:rsidR="006339A5">
        <w:t>. T</w:t>
      </w:r>
      <w:r w:rsidR="0045021B">
        <w:t xml:space="preserve">řetím </w:t>
      </w:r>
      <w:r w:rsidR="006339A5">
        <w:t xml:space="preserve">zdrojem </w:t>
      </w:r>
      <w:r w:rsidR="0045021B">
        <w:t>jsou vládní ko</w:t>
      </w:r>
      <w:r w:rsidR="00B96340">
        <w:t xml:space="preserve">mpenzace za zahraniční studenty </w:t>
      </w:r>
      <w:r w:rsidR="00B96340">
        <w:rPr>
          <w:lang w:val="en-US"/>
        </w:rPr>
        <w:t>[</w:t>
      </w:r>
      <w:proofErr w:type="spellStart"/>
      <w:r w:rsidR="00B96340" w:rsidRPr="00B96340">
        <w:t>Stichele</w:t>
      </w:r>
      <w:proofErr w:type="spellEnd"/>
      <w:r w:rsidR="00B96340" w:rsidRPr="00B96340">
        <w:t xml:space="preserve"> a </w:t>
      </w:r>
      <w:proofErr w:type="spellStart"/>
      <w:r w:rsidR="00B96340" w:rsidRPr="00B96340">
        <w:t>Verdonck</w:t>
      </w:r>
      <w:proofErr w:type="spellEnd"/>
      <w:r w:rsidR="00B96340" w:rsidRPr="00B96340">
        <w:t xml:space="preserve"> 2002: </w:t>
      </w:r>
      <w:r w:rsidR="00B96340">
        <w:t>8</w:t>
      </w:r>
      <w:r w:rsidR="00B96340" w:rsidRPr="00B96340">
        <w:rPr>
          <w:lang w:val="en-US"/>
        </w:rPr>
        <w:t>].</w:t>
      </w:r>
    </w:p>
    <w:p w:rsidR="009E36B2" w:rsidRDefault="0045021B" w:rsidP="00140B0F">
      <w:pPr>
        <w:pStyle w:val="Bezmezer"/>
        <w:jc w:val="both"/>
      </w:pPr>
      <w:r>
        <w:tab/>
        <w:t xml:space="preserve">Vzhledem k tomu, že společenství nemají možnost ovlivňovat své příjmy, jsou tyto entity strukturálně podfinancované. </w:t>
      </w:r>
      <w:r w:rsidR="009E36B2" w:rsidRPr="009E36B2">
        <w:t>Francouzské jazykové společenství, které neprofituje z propojení regionu a společenství (jak je tomu ve Flandrech), bylo přitom zatím vždy v pozici žadatele o kompenzace, jelikož nebylo schopno financovat vzdělávací systém (platové náklady přitom tvoří 80 % výdajů)</w:t>
      </w:r>
      <w:r w:rsidR="00B96340">
        <w:t xml:space="preserve"> </w:t>
      </w:r>
      <w:r w:rsidR="00B96340">
        <w:rPr>
          <w:lang w:val="en-US"/>
        </w:rPr>
        <w:t>[</w:t>
      </w:r>
      <w:proofErr w:type="spellStart"/>
      <w:r w:rsidR="00B96340" w:rsidRPr="00B96340">
        <w:t>Stichele</w:t>
      </w:r>
      <w:proofErr w:type="spellEnd"/>
      <w:r w:rsidR="00B96340" w:rsidRPr="00B96340">
        <w:t xml:space="preserve"> a </w:t>
      </w:r>
      <w:proofErr w:type="spellStart"/>
      <w:r w:rsidR="00B96340" w:rsidRPr="00B96340">
        <w:t>Verdonck</w:t>
      </w:r>
      <w:proofErr w:type="spellEnd"/>
      <w:r w:rsidR="00B96340" w:rsidRPr="00B96340">
        <w:t xml:space="preserve"> 2002: </w:t>
      </w:r>
      <w:r w:rsidR="00B96340">
        <w:t>8</w:t>
      </w:r>
      <w:r w:rsidR="00B96340" w:rsidRPr="00B96340">
        <w:rPr>
          <w:lang w:val="en-US"/>
        </w:rPr>
        <w:t>]</w:t>
      </w:r>
      <w:r w:rsidR="009E36B2" w:rsidRPr="009E36B2">
        <w:t xml:space="preserve">. </w:t>
      </w:r>
      <w:r>
        <w:t xml:space="preserve">Proto </w:t>
      </w:r>
      <w:r w:rsidR="002C6BC8">
        <w:t xml:space="preserve">vláda a společenství přistoupily </w:t>
      </w:r>
      <w:r>
        <w:t xml:space="preserve">v minulosti k řadě negociacím, v rámci nichž došlo k refinancování společenství, především pak prostřednictvím navýšení transferu plynoucích z podílu z výběru </w:t>
      </w:r>
      <w:r w:rsidR="002C6BC8">
        <w:t>DPH.</w:t>
      </w:r>
      <w:r>
        <w:t xml:space="preserve"> </w:t>
      </w:r>
    </w:p>
    <w:p w:rsidR="002C6BC8" w:rsidRDefault="002C6BC8" w:rsidP="00140B0F">
      <w:pPr>
        <w:pStyle w:val="Bezmezer"/>
        <w:ind w:firstLine="227"/>
        <w:jc w:val="both"/>
        <w:rPr>
          <w:lang w:val="en-US"/>
        </w:rPr>
      </w:pPr>
      <w:r>
        <w:t xml:space="preserve">V roce 2001 došlo na základě tzv. </w:t>
      </w:r>
      <w:r w:rsidR="009E36B2">
        <w:t>dohod</w:t>
      </w:r>
      <w:r>
        <w:t>y</w:t>
      </w:r>
      <w:r w:rsidR="009E36B2">
        <w:t xml:space="preserve"> z</w:t>
      </w:r>
      <w:r>
        <w:t> </w:t>
      </w:r>
      <w:proofErr w:type="spellStart"/>
      <w:r w:rsidR="009E36B2">
        <w:t>Lambermont</w:t>
      </w:r>
      <w:proofErr w:type="spellEnd"/>
      <w:r>
        <w:t xml:space="preserve"> ke změně výpočtu podílu z výběru DPH, kdy došlo</w:t>
      </w:r>
      <w:r w:rsidR="00B96340">
        <w:t xml:space="preserve"> mimo jiné</w:t>
      </w:r>
      <w:r>
        <w:t xml:space="preserve"> k zohlednění výše daňových odvodů z jednotlivých společenství</w:t>
      </w:r>
      <w:r w:rsidR="00B96340">
        <w:t xml:space="preserve">. </w:t>
      </w:r>
      <w:r>
        <w:t>To vedlo k</w:t>
      </w:r>
      <w:r w:rsidR="00B96340">
        <w:t xml:space="preserve"> zmenšení </w:t>
      </w:r>
      <w:r>
        <w:t>solidarity</w:t>
      </w:r>
      <w:r w:rsidR="00B96340">
        <w:t xml:space="preserve"> mezi těmito entitami</w:t>
      </w:r>
      <w:r>
        <w:t xml:space="preserve"> a zohlednění hospodářské aktivity v jednotlivých částech země </w:t>
      </w:r>
      <w:r w:rsidR="00B96340">
        <w:t xml:space="preserve">– tedy i </w:t>
      </w:r>
      <w:r>
        <w:t xml:space="preserve">k významnému nárůstu příjmů Vlámského společenství </w:t>
      </w:r>
      <w:r>
        <w:rPr>
          <w:lang w:val="en-US"/>
        </w:rPr>
        <w:t>[</w:t>
      </w:r>
      <w:proofErr w:type="spellStart"/>
      <w:r w:rsidRPr="002C6BC8">
        <w:t>St</w:t>
      </w:r>
      <w:r>
        <w:t>ichele</w:t>
      </w:r>
      <w:proofErr w:type="spellEnd"/>
      <w:r>
        <w:t xml:space="preserve"> a</w:t>
      </w:r>
      <w:r w:rsidRPr="002C6BC8">
        <w:t xml:space="preserve"> </w:t>
      </w:r>
      <w:proofErr w:type="spellStart"/>
      <w:r w:rsidRPr="002C6BC8">
        <w:t>Verdonck</w:t>
      </w:r>
      <w:proofErr w:type="spellEnd"/>
      <w:r>
        <w:t xml:space="preserve"> 2002: 13</w:t>
      </w:r>
      <w:r>
        <w:rPr>
          <w:lang w:val="en-US"/>
        </w:rPr>
        <w:t>].</w:t>
      </w:r>
    </w:p>
    <w:p w:rsidR="006339A5" w:rsidRDefault="006339A5" w:rsidP="00140B0F">
      <w:pPr>
        <w:pStyle w:val="Bezmezer"/>
        <w:ind w:firstLine="227"/>
        <w:jc w:val="both"/>
        <w:rPr>
          <w:lang w:val="en-US"/>
        </w:rPr>
      </w:pPr>
    </w:p>
    <w:p w:rsidR="00375EC5" w:rsidRDefault="00625062" w:rsidP="00140B0F">
      <w:pPr>
        <w:pStyle w:val="Bezmezer"/>
        <w:ind w:firstLine="227"/>
        <w:jc w:val="both"/>
      </w:pPr>
      <w:r w:rsidRPr="00625062">
        <w:t>V</w:t>
      </w:r>
      <w:r w:rsidR="000E2791">
        <w:t xml:space="preserve"> době vzniku regionů měly tyto pouze minimální kompetence </w:t>
      </w:r>
      <w:r w:rsidR="000E2791">
        <w:rPr>
          <w:lang w:val="en-US"/>
        </w:rPr>
        <w:t>[</w:t>
      </w:r>
      <w:proofErr w:type="spellStart"/>
      <w:r w:rsidR="000E2791">
        <w:t>Keating</w:t>
      </w:r>
      <w:proofErr w:type="spellEnd"/>
      <w:r w:rsidR="000E2791">
        <w:t xml:space="preserve"> </w:t>
      </w:r>
      <w:r w:rsidR="00B11790">
        <w:t>2003</w:t>
      </w:r>
      <w:r w:rsidR="000E2791">
        <w:t>: 70</w:t>
      </w:r>
      <w:r w:rsidR="000E2791">
        <w:rPr>
          <w:lang w:val="en-US"/>
        </w:rPr>
        <w:t>]</w:t>
      </w:r>
      <w:r w:rsidR="000E2791">
        <w:t>. K významné decentralizaci došl</w:t>
      </w:r>
      <w:r w:rsidR="006339A5">
        <w:t>o</w:t>
      </w:r>
      <w:r w:rsidR="000E2791">
        <w:t xml:space="preserve"> až institucionální reformou v roce 1980.</w:t>
      </w:r>
      <w:r w:rsidR="00E2445B">
        <w:t xml:space="preserve"> Na jejím základě byly regiony</w:t>
      </w:r>
      <w:r w:rsidR="000E2791">
        <w:t xml:space="preserve"> oprávněny upravovat politiku zaměstnanosti,</w:t>
      </w:r>
      <w:r w:rsidR="00E2445B">
        <w:t xml:space="preserve"> bytovou politiku</w:t>
      </w:r>
      <w:r w:rsidR="00271DBF">
        <w:t>,</w:t>
      </w:r>
      <w:r w:rsidR="00E2445B">
        <w:t xml:space="preserve"> plánovat hospodářský rozvoj a veřejné investice. V rámci reforem 1988-89 pak k těmto přibyly zodpovědnost za vědecký výzkum a dopravní politiku. K zásadnímu rozšíření kompetencí logicky přispěla formální federalizace země v letech 1992/1993. Regiony se staly odpovědnými za budování silničních a vodních cest,za určité oblasti zah</w:t>
      </w:r>
      <w:r w:rsidR="00F83C3F">
        <w:t xml:space="preserve">raničního obchodu, energetiky stejně jako zemědělské politiky. Získaly také oprávnění upravovat meziobecní spolupráci a v rámci přiznané mezinárodní subjektivity uzavírat mezinárodní dohody ve všech </w:t>
      </w:r>
      <w:r w:rsidR="00F83C3F" w:rsidRPr="00F83C3F">
        <w:lastRenderedPageBreak/>
        <w:t xml:space="preserve">sférách spadajících do kompetence </w:t>
      </w:r>
      <w:r w:rsidR="00F83C3F">
        <w:t xml:space="preserve">regionů. </w:t>
      </w:r>
      <w:r w:rsidR="00375EC5">
        <w:t>Ty byly od té doby rozšířeny o veškerou odpovědnost za zahraničn</w:t>
      </w:r>
      <w:r w:rsidR="00630722">
        <w:t>í obchod a zemědělskou politiku (viz tabulka č. 1).</w:t>
      </w:r>
    </w:p>
    <w:p w:rsidR="005B5B98" w:rsidRDefault="005B5B98" w:rsidP="00DE0163">
      <w:pPr>
        <w:pStyle w:val="Bezmezer"/>
        <w:ind w:firstLine="227"/>
      </w:pPr>
    </w:p>
    <w:p w:rsidR="005B5B98" w:rsidRDefault="005B5B98" w:rsidP="00DE0163">
      <w:pPr>
        <w:pStyle w:val="Bezmezer"/>
        <w:ind w:firstLine="227"/>
      </w:pPr>
    </w:p>
    <w:p w:rsidR="00F320D5" w:rsidRPr="00F320D5" w:rsidRDefault="00F320D5" w:rsidP="00DE0163">
      <w:pPr>
        <w:pStyle w:val="Titulek"/>
        <w:keepNext/>
        <w:rPr>
          <w:color w:val="auto"/>
          <w:sz w:val="24"/>
          <w:szCs w:val="24"/>
        </w:rPr>
      </w:pPr>
      <w:r w:rsidRPr="00F320D5">
        <w:rPr>
          <w:color w:val="auto"/>
          <w:sz w:val="24"/>
          <w:szCs w:val="24"/>
        </w:rPr>
        <w:t xml:space="preserve">Tabulka </w:t>
      </w:r>
      <w:r w:rsidR="0055602B" w:rsidRPr="00F320D5">
        <w:rPr>
          <w:color w:val="auto"/>
          <w:sz w:val="24"/>
          <w:szCs w:val="24"/>
        </w:rPr>
        <w:fldChar w:fldCharType="begin"/>
      </w:r>
      <w:r w:rsidRPr="00F320D5">
        <w:rPr>
          <w:color w:val="auto"/>
          <w:sz w:val="24"/>
          <w:szCs w:val="24"/>
        </w:rPr>
        <w:instrText xml:space="preserve"> SEQ Tabulka \* ARABIC </w:instrText>
      </w:r>
      <w:r w:rsidR="0055602B" w:rsidRPr="00F320D5">
        <w:rPr>
          <w:color w:val="auto"/>
          <w:sz w:val="24"/>
          <w:szCs w:val="24"/>
        </w:rPr>
        <w:fldChar w:fldCharType="separate"/>
      </w:r>
      <w:r w:rsidR="00943269">
        <w:rPr>
          <w:noProof/>
          <w:color w:val="auto"/>
          <w:sz w:val="24"/>
          <w:szCs w:val="24"/>
        </w:rPr>
        <w:t>1</w:t>
      </w:r>
      <w:r w:rsidR="0055602B" w:rsidRPr="00F320D5">
        <w:rPr>
          <w:color w:val="auto"/>
          <w:sz w:val="24"/>
          <w:szCs w:val="24"/>
        </w:rPr>
        <w:fldChar w:fldCharType="end"/>
      </w:r>
      <w:r w:rsidRPr="00F320D5">
        <w:rPr>
          <w:color w:val="auto"/>
          <w:sz w:val="24"/>
          <w:szCs w:val="24"/>
        </w:rPr>
        <w:t xml:space="preserve"> Proces decentralizace</w:t>
      </w:r>
    </w:p>
    <w:tbl>
      <w:tblPr>
        <w:tblStyle w:val="Stednstnovn2zvraznn2"/>
        <w:tblW w:w="10490" w:type="dxa"/>
        <w:tblInd w:w="-601" w:type="dxa"/>
        <w:tblBorders>
          <w:left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1736"/>
        <w:gridCol w:w="958"/>
        <w:gridCol w:w="1984"/>
        <w:gridCol w:w="1560"/>
        <w:gridCol w:w="1842"/>
        <w:gridCol w:w="2410"/>
      </w:tblGrid>
      <w:tr w:rsidR="00F320D5" w:rsidTr="00F320D5">
        <w:trPr>
          <w:cnfStyle w:val="100000000000"/>
        </w:trPr>
        <w:tc>
          <w:tcPr>
            <w:cnfStyle w:val="001000000100"/>
            <w:tcW w:w="1736" w:type="dxa"/>
            <w:tcBorders>
              <w:left w:val="single" w:sz="18" w:space="0" w:color="auto"/>
              <w:right w:val="single" w:sz="18" w:space="0" w:color="auto"/>
            </w:tcBorders>
          </w:tcPr>
          <w:p w:rsidR="005B5B98" w:rsidRDefault="005B5B98" w:rsidP="00DE0163">
            <w:pPr>
              <w:pStyle w:val="Bezmezer"/>
            </w:pPr>
            <w:r>
              <w:t>Státní reformy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</w:tcPr>
          <w:p w:rsidR="005B5B98" w:rsidRDefault="005B5B98" w:rsidP="00DE0163">
            <w:pPr>
              <w:pStyle w:val="Bezmezer"/>
              <w:cnfStyle w:val="100000000000"/>
            </w:pPr>
            <w:r>
              <w:t>1970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5B5B98" w:rsidRDefault="005B5B98" w:rsidP="00DE0163">
            <w:pPr>
              <w:pStyle w:val="Bezmezer"/>
              <w:cnfStyle w:val="100000000000"/>
            </w:pPr>
            <w:r>
              <w:t>1980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5B5B98" w:rsidRDefault="005B5B98" w:rsidP="00DE0163">
            <w:pPr>
              <w:pStyle w:val="Bezmezer"/>
              <w:cnfStyle w:val="100000000000"/>
            </w:pPr>
            <w:r>
              <w:t>1988-89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5B5B98" w:rsidRDefault="005B5B98" w:rsidP="00DE0163">
            <w:pPr>
              <w:pStyle w:val="Bezmezer"/>
              <w:cnfStyle w:val="100000000000"/>
            </w:pPr>
            <w:r>
              <w:t>1992-93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5B5B98" w:rsidRDefault="005B5B98" w:rsidP="00DE0163">
            <w:pPr>
              <w:pStyle w:val="Bezmezer"/>
              <w:cnfStyle w:val="100000000000"/>
            </w:pPr>
            <w:r>
              <w:t>2001-</w:t>
            </w:r>
          </w:p>
        </w:tc>
      </w:tr>
      <w:tr w:rsidR="00F320D5" w:rsidTr="00F320D5">
        <w:trPr>
          <w:cnfStyle w:val="000000100000"/>
        </w:trPr>
        <w:tc>
          <w:tcPr>
            <w:cnfStyle w:val="001000000000"/>
            <w:tcW w:w="1736" w:type="dxa"/>
            <w:tcBorders>
              <w:left w:val="single" w:sz="18" w:space="0" w:color="auto"/>
            </w:tcBorders>
            <w:vAlign w:val="center"/>
          </w:tcPr>
          <w:p w:rsidR="005B5B98" w:rsidRDefault="005B5B98" w:rsidP="00DE0163">
            <w:pPr>
              <w:pStyle w:val="Bezmezer"/>
            </w:pPr>
            <w:r>
              <w:t>Kompetence společenství</w:t>
            </w:r>
          </w:p>
        </w:tc>
        <w:tc>
          <w:tcPr>
            <w:tcW w:w="958" w:type="dxa"/>
          </w:tcPr>
          <w:p w:rsidR="005B5B98" w:rsidRDefault="001D0629" w:rsidP="00DE0163">
            <w:pPr>
              <w:pStyle w:val="Bezmezer"/>
              <w:cnfStyle w:val="000000100000"/>
            </w:pPr>
            <w:r>
              <w:t>užívání jazyka a kulturní politika</w:t>
            </w:r>
          </w:p>
        </w:tc>
        <w:tc>
          <w:tcPr>
            <w:tcW w:w="1984" w:type="dxa"/>
          </w:tcPr>
          <w:p w:rsidR="005B5B98" w:rsidRDefault="001D0629" w:rsidP="00DE0163">
            <w:pPr>
              <w:pStyle w:val="Bezmezer"/>
              <w:cnfStyle w:val="000000100000"/>
            </w:pPr>
            <w:r>
              <w:t>„personalizované“ záležitosti</w:t>
            </w:r>
          </w:p>
        </w:tc>
        <w:tc>
          <w:tcPr>
            <w:tcW w:w="1560" w:type="dxa"/>
          </w:tcPr>
          <w:p w:rsidR="005B5B98" w:rsidRDefault="00F320D5" w:rsidP="00DE0163">
            <w:pPr>
              <w:pStyle w:val="Bezmezer"/>
              <w:cnfStyle w:val="000000100000"/>
            </w:pPr>
            <w:r>
              <w:t>v</w:t>
            </w:r>
            <w:r w:rsidR="001D0629">
              <w:t>zdělávání</w:t>
            </w:r>
          </w:p>
        </w:tc>
        <w:tc>
          <w:tcPr>
            <w:tcW w:w="1842" w:type="dxa"/>
          </w:tcPr>
          <w:p w:rsidR="00F320D5" w:rsidRDefault="00F320D5" w:rsidP="00DE0163">
            <w:pPr>
              <w:pStyle w:val="Bezmezer"/>
              <w:numPr>
                <w:ilvl w:val="0"/>
                <w:numId w:val="5"/>
              </w:numPr>
              <w:cnfStyle w:val="000000100000"/>
            </w:pPr>
            <w:r>
              <w:t>s</w:t>
            </w:r>
            <w:r w:rsidR="001D0629">
              <w:t>ociální asistence</w:t>
            </w:r>
          </w:p>
          <w:p w:rsidR="005B5B98" w:rsidRDefault="001D0629" w:rsidP="00DE0163">
            <w:pPr>
              <w:pStyle w:val="Bezmezer"/>
              <w:numPr>
                <w:ilvl w:val="0"/>
                <w:numId w:val="5"/>
              </w:numPr>
              <w:cnfStyle w:val="000000100000"/>
            </w:pPr>
            <w:r>
              <w:t>mezinárodní spolupráce</w:t>
            </w:r>
          </w:p>
        </w:tc>
        <w:tc>
          <w:tcPr>
            <w:tcW w:w="2410" w:type="dxa"/>
          </w:tcPr>
          <w:p w:rsidR="005B5B98" w:rsidRDefault="005B5B98" w:rsidP="00DE0163">
            <w:pPr>
              <w:pStyle w:val="Bezmezer"/>
              <w:cnfStyle w:val="000000100000"/>
            </w:pPr>
          </w:p>
        </w:tc>
      </w:tr>
      <w:tr w:rsidR="00F320D5" w:rsidTr="00F320D5">
        <w:trPr>
          <w:trHeight w:val="3711"/>
        </w:trPr>
        <w:tc>
          <w:tcPr>
            <w:cnfStyle w:val="001000000000"/>
            <w:tcW w:w="17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5B98" w:rsidRDefault="005B5B98" w:rsidP="00DE0163">
            <w:pPr>
              <w:pStyle w:val="Bezmezer"/>
            </w:pPr>
            <w:r>
              <w:t>Kompetence regionů</w:t>
            </w:r>
          </w:p>
        </w:tc>
        <w:tc>
          <w:tcPr>
            <w:tcW w:w="958" w:type="dxa"/>
          </w:tcPr>
          <w:p w:rsidR="005B5B98" w:rsidRDefault="005B5B98" w:rsidP="00DE0163">
            <w:pPr>
              <w:pStyle w:val="Bezmezer"/>
              <w:cnfStyle w:val="000000000000"/>
            </w:pPr>
          </w:p>
        </w:tc>
        <w:tc>
          <w:tcPr>
            <w:tcW w:w="1984" w:type="dxa"/>
          </w:tcPr>
          <w:p w:rsidR="001D0629" w:rsidRDefault="001D0629" w:rsidP="00DE0163">
            <w:pPr>
              <w:pStyle w:val="Bezmezer"/>
              <w:numPr>
                <w:ilvl w:val="0"/>
                <w:numId w:val="3"/>
              </w:numPr>
              <w:cnfStyle w:val="000000000000"/>
            </w:pPr>
            <w:r>
              <w:t xml:space="preserve">politika </w:t>
            </w:r>
            <w:r w:rsidR="00F320D5">
              <w:t>zaměstnanosti</w:t>
            </w:r>
          </w:p>
          <w:p w:rsidR="001D0629" w:rsidRDefault="001D0629" w:rsidP="00DE0163">
            <w:pPr>
              <w:pStyle w:val="Bezmezer"/>
              <w:numPr>
                <w:ilvl w:val="0"/>
                <w:numId w:val="3"/>
              </w:numPr>
              <w:cnfStyle w:val="000000000000"/>
            </w:pPr>
            <w:r w:rsidRPr="001D0629">
              <w:t>byt</w:t>
            </w:r>
            <w:r>
              <w:t xml:space="preserve">ová </w:t>
            </w:r>
            <w:r w:rsidRPr="001D0629">
              <w:t>politik</w:t>
            </w:r>
            <w:r>
              <w:t>a</w:t>
            </w:r>
          </w:p>
          <w:p w:rsidR="001D0629" w:rsidRDefault="001D0629" w:rsidP="00DE0163">
            <w:pPr>
              <w:pStyle w:val="Bezmezer"/>
              <w:numPr>
                <w:ilvl w:val="0"/>
                <w:numId w:val="3"/>
              </w:numPr>
              <w:cnfStyle w:val="000000000000"/>
            </w:pPr>
            <w:r w:rsidRPr="001D0629">
              <w:t>plánov</w:t>
            </w:r>
            <w:r>
              <w:t xml:space="preserve">ání </w:t>
            </w:r>
            <w:r w:rsidRPr="001D0629">
              <w:t>hospodářsk</w:t>
            </w:r>
            <w:r>
              <w:t>ého rozvoje</w:t>
            </w:r>
          </w:p>
          <w:p w:rsidR="001D0629" w:rsidRDefault="001D0629" w:rsidP="00DE0163">
            <w:pPr>
              <w:pStyle w:val="Bezmezer"/>
              <w:numPr>
                <w:ilvl w:val="0"/>
                <w:numId w:val="3"/>
              </w:numPr>
              <w:cnfStyle w:val="000000000000"/>
            </w:pPr>
            <w:r w:rsidRPr="001D0629">
              <w:t>veřejné investice.</w:t>
            </w:r>
          </w:p>
        </w:tc>
        <w:tc>
          <w:tcPr>
            <w:tcW w:w="1560" w:type="dxa"/>
          </w:tcPr>
          <w:p w:rsidR="001D0629" w:rsidRDefault="001D0629" w:rsidP="00DE0163">
            <w:pPr>
              <w:pStyle w:val="Bezmezer"/>
              <w:numPr>
                <w:ilvl w:val="0"/>
                <w:numId w:val="4"/>
              </w:numPr>
              <w:cnfStyle w:val="000000000000"/>
            </w:pPr>
            <w:r w:rsidRPr="001D0629">
              <w:t>vědecký výzkum</w:t>
            </w:r>
          </w:p>
          <w:p w:rsidR="005B5B98" w:rsidRDefault="001D0629" w:rsidP="00DE0163">
            <w:pPr>
              <w:pStyle w:val="Bezmezer"/>
              <w:numPr>
                <w:ilvl w:val="0"/>
                <w:numId w:val="4"/>
              </w:numPr>
              <w:cnfStyle w:val="000000000000"/>
            </w:pPr>
            <w:r w:rsidRPr="001D0629">
              <w:t>dopravní politik</w:t>
            </w:r>
            <w:r>
              <w:t>a</w:t>
            </w:r>
          </w:p>
        </w:tc>
        <w:tc>
          <w:tcPr>
            <w:tcW w:w="1842" w:type="dxa"/>
          </w:tcPr>
          <w:p w:rsidR="00F320D5" w:rsidRDefault="001D0629" w:rsidP="00DE0163">
            <w:pPr>
              <w:pStyle w:val="Bezmezer"/>
              <w:numPr>
                <w:ilvl w:val="0"/>
                <w:numId w:val="2"/>
              </w:numPr>
              <w:cnfStyle w:val="000000000000"/>
            </w:pPr>
            <w:r w:rsidRPr="001D0629">
              <w:t>budo</w:t>
            </w:r>
            <w:r w:rsidR="00F320D5">
              <w:t>vání silničních a vodních cest</w:t>
            </w:r>
          </w:p>
          <w:p w:rsidR="001D0629" w:rsidRDefault="001D0629" w:rsidP="00DE0163">
            <w:pPr>
              <w:pStyle w:val="Bezmezer"/>
              <w:numPr>
                <w:ilvl w:val="0"/>
                <w:numId w:val="2"/>
              </w:numPr>
              <w:cnfStyle w:val="000000000000"/>
            </w:pPr>
            <w:r w:rsidRPr="001D0629">
              <w:t>určité oblasti zahraničního</w:t>
            </w:r>
            <w:r>
              <w:t xml:space="preserve"> obchodu, energetiky a zemědělské politiky</w:t>
            </w:r>
          </w:p>
          <w:p w:rsidR="001D0629" w:rsidRPr="001D0629" w:rsidRDefault="001D0629" w:rsidP="00DE0163">
            <w:pPr>
              <w:pStyle w:val="Bezmezer"/>
              <w:numPr>
                <w:ilvl w:val="0"/>
                <w:numId w:val="2"/>
              </w:numPr>
              <w:cnfStyle w:val="000000000000"/>
            </w:pPr>
            <w:r w:rsidRPr="001D0629">
              <w:t>meziobecní</w:t>
            </w:r>
            <w:r>
              <w:t xml:space="preserve"> a mezinárodní spolupráce</w:t>
            </w:r>
          </w:p>
          <w:p w:rsidR="005B5B98" w:rsidRDefault="005B5B98" w:rsidP="00DE0163">
            <w:pPr>
              <w:pStyle w:val="Bezmezer"/>
              <w:ind w:left="360"/>
              <w:cnfStyle w:val="000000000000"/>
            </w:pPr>
          </w:p>
        </w:tc>
        <w:tc>
          <w:tcPr>
            <w:tcW w:w="2410" w:type="dxa"/>
          </w:tcPr>
          <w:p w:rsidR="001D0629" w:rsidRPr="001D0629" w:rsidRDefault="001D0629" w:rsidP="00DE0163">
            <w:pPr>
              <w:pStyle w:val="Bezmezer"/>
              <w:cnfStyle w:val="000000000000"/>
            </w:pPr>
            <w:r>
              <w:t>veškerá</w:t>
            </w:r>
            <w:r w:rsidRPr="001D0629">
              <w:t xml:space="preserve"> odpovědnost za zahraniční obchod a zemědělskou politiku</w:t>
            </w:r>
          </w:p>
          <w:p w:rsidR="005B5B98" w:rsidRDefault="005B5B98" w:rsidP="00DE0163">
            <w:pPr>
              <w:pStyle w:val="Bezmezer"/>
              <w:cnfStyle w:val="000000000000"/>
            </w:pPr>
          </w:p>
        </w:tc>
      </w:tr>
      <w:tr w:rsidR="00F320D5" w:rsidTr="00F320D5">
        <w:trPr>
          <w:cnfStyle w:val="000000100000"/>
        </w:trPr>
        <w:tc>
          <w:tcPr>
            <w:cnfStyle w:val="001000000000"/>
            <w:tcW w:w="1736" w:type="dxa"/>
            <w:tcBorders>
              <w:left w:val="single" w:sz="18" w:space="0" w:color="auto"/>
            </w:tcBorders>
            <w:vAlign w:val="center"/>
          </w:tcPr>
          <w:p w:rsidR="00761EC1" w:rsidRDefault="00761EC1" w:rsidP="00DE0163">
            <w:pPr>
              <w:pStyle w:val="Bezmezer"/>
            </w:pPr>
            <w:r>
              <w:t>Fiskální autonomie regionů a společenství</w:t>
            </w:r>
          </w:p>
        </w:tc>
        <w:tc>
          <w:tcPr>
            <w:tcW w:w="958" w:type="dxa"/>
          </w:tcPr>
          <w:p w:rsidR="00761EC1" w:rsidRDefault="00761EC1" w:rsidP="00DE0163">
            <w:pPr>
              <w:pStyle w:val="Bezmezer"/>
              <w:cnfStyle w:val="000000100000"/>
            </w:pPr>
            <w:r>
              <w:t>Žádná - nepodmíněné</w:t>
            </w:r>
            <w:r w:rsidRPr="00F94ECD">
              <w:t xml:space="preserve"> grant</w:t>
            </w:r>
            <w:r>
              <w:t>y</w:t>
            </w:r>
          </w:p>
        </w:tc>
        <w:tc>
          <w:tcPr>
            <w:tcW w:w="1984" w:type="dxa"/>
          </w:tcPr>
          <w:p w:rsidR="00761EC1" w:rsidRDefault="00761EC1" w:rsidP="00DE0163">
            <w:pPr>
              <w:pStyle w:val="Bezmezer"/>
              <w:cnfStyle w:val="000000100000"/>
            </w:pPr>
            <w:r w:rsidRPr="00F94ECD">
              <w:t>Žádná - nepodmíněné granty</w:t>
            </w:r>
            <w:r>
              <w:t xml:space="preserve"> doplněny o transfery ze sdílených daní</w:t>
            </w:r>
          </w:p>
        </w:tc>
        <w:tc>
          <w:tcPr>
            <w:tcW w:w="3402" w:type="dxa"/>
            <w:gridSpan w:val="2"/>
          </w:tcPr>
          <w:p w:rsidR="00761EC1" w:rsidRDefault="00761EC1" w:rsidP="00DE0163">
            <w:pPr>
              <w:pStyle w:val="Bezmezer"/>
              <w:numPr>
                <w:ilvl w:val="0"/>
                <w:numId w:val="6"/>
              </w:numPr>
              <w:cnfStyle w:val="000000100000"/>
            </w:pPr>
            <w:r>
              <w:t>Omezená fiskální autonomie</w:t>
            </w:r>
            <w:r w:rsidR="00B243C4">
              <w:t xml:space="preserve"> regionů </w:t>
            </w:r>
          </w:p>
          <w:p w:rsidR="00761EC1" w:rsidRDefault="00761EC1" w:rsidP="00DE0163">
            <w:pPr>
              <w:pStyle w:val="Bezmezer"/>
              <w:numPr>
                <w:ilvl w:val="0"/>
                <w:numId w:val="6"/>
              </w:numPr>
              <w:cnfStyle w:val="000000100000"/>
            </w:pPr>
            <w:r w:rsidRPr="00F94ECD">
              <w:t xml:space="preserve">daň z výherních zařízení a sázek, z automatických zábavních zařízení a daň z otevření </w:t>
            </w:r>
            <w:r>
              <w:t>restauračních</w:t>
            </w:r>
            <w:r w:rsidRPr="00F94ECD">
              <w:t xml:space="preserve"> zařízení</w:t>
            </w:r>
            <w:r>
              <w:t xml:space="preserve"> (zcela „</w:t>
            </w:r>
            <w:proofErr w:type="spellStart"/>
            <w:r>
              <w:t>regionalizovány</w:t>
            </w:r>
            <w:proofErr w:type="spellEnd"/>
            <w:r>
              <w:t>“)</w:t>
            </w:r>
          </w:p>
          <w:p w:rsidR="00761EC1" w:rsidRDefault="00761EC1" w:rsidP="00DE0163">
            <w:pPr>
              <w:pStyle w:val="Bezmezer"/>
              <w:numPr>
                <w:ilvl w:val="0"/>
                <w:numId w:val="6"/>
              </w:numPr>
              <w:cnfStyle w:val="000000100000"/>
            </w:pPr>
            <w:r w:rsidRPr="00F94ECD">
              <w:t xml:space="preserve">daně z nemovitosti a daně z dědictví </w:t>
            </w:r>
          </w:p>
          <w:p w:rsidR="00761EC1" w:rsidRDefault="00761EC1" w:rsidP="00DE0163">
            <w:pPr>
              <w:pStyle w:val="Bezmezer"/>
              <w:cnfStyle w:val="000000100000"/>
            </w:pPr>
          </w:p>
        </w:tc>
        <w:tc>
          <w:tcPr>
            <w:tcW w:w="2410" w:type="dxa"/>
          </w:tcPr>
          <w:p w:rsidR="00761EC1" w:rsidRDefault="00F320D5" w:rsidP="00DE0163">
            <w:pPr>
              <w:pStyle w:val="Bezmezer"/>
              <w:numPr>
                <w:ilvl w:val="0"/>
                <w:numId w:val="6"/>
              </w:numPr>
              <w:cnfStyle w:val="000000100000"/>
            </w:pPr>
            <w:r>
              <w:t>„regionalizace“ daní: d</w:t>
            </w:r>
            <w:r w:rsidR="00761EC1" w:rsidRPr="00761EC1">
              <w:t>aň z hypotečních úvěrů, darovací daň, daň z převodu nemovitost</w:t>
            </w:r>
            <w:r w:rsidR="00AF7951">
              <w:t>í</w:t>
            </w:r>
            <w:r w:rsidR="00761EC1" w:rsidRPr="00761EC1">
              <w:t xml:space="preserve">, silniční daň pro osobní automobily, poplatky za registraci motorového vozidla, poplatky </w:t>
            </w:r>
            <w:proofErr w:type="spellStart"/>
            <w:r w:rsidR="00761EC1" w:rsidRPr="00761EC1">
              <w:rPr>
                <w:i/>
              </w:rPr>
              <w:t>Eurovignette</w:t>
            </w:r>
            <w:proofErr w:type="spellEnd"/>
            <w:r w:rsidR="00761EC1" w:rsidRPr="00761EC1">
              <w:rPr>
                <w:i/>
              </w:rPr>
              <w:t xml:space="preserve"> </w:t>
            </w:r>
            <w:r w:rsidR="00761EC1" w:rsidRPr="00761EC1">
              <w:t>poplatky za rozhlasový a televizní přijímač</w:t>
            </w:r>
          </w:p>
        </w:tc>
      </w:tr>
    </w:tbl>
    <w:p w:rsidR="00F320D5" w:rsidRPr="00F320D5" w:rsidRDefault="00F320D5" w:rsidP="00DE0163">
      <w:pPr>
        <w:pStyle w:val="Bezmezer"/>
        <w:ind w:firstLine="227"/>
        <w:rPr>
          <w:i/>
          <w:sz w:val="22"/>
          <w:szCs w:val="22"/>
          <w:lang w:val="en-US"/>
        </w:rPr>
      </w:pPr>
      <w:r w:rsidRPr="00F320D5">
        <w:rPr>
          <w:i/>
          <w:sz w:val="22"/>
          <w:szCs w:val="22"/>
        </w:rPr>
        <w:t>Zdroj: zp</w:t>
      </w:r>
      <w:r w:rsidR="00630722">
        <w:rPr>
          <w:i/>
          <w:sz w:val="22"/>
          <w:szCs w:val="22"/>
        </w:rPr>
        <w:t xml:space="preserve">racováno autorem podle </w:t>
      </w:r>
      <w:proofErr w:type="spellStart"/>
      <w:r w:rsidR="00630722">
        <w:rPr>
          <w:i/>
          <w:sz w:val="22"/>
          <w:szCs w:val="22"/>
        </w:rPr>
        <w:t>Swenden</w:t>
      </w:r>
      <w:proofErr w:type="spellEnd"/>
      <w:r w:rsidR="00630722">
        <w:rPr>
          <w:i/>
          <w:sz w:val="22"/>
          <w:szCs w:val="22"/>
        </w:rPr>
        <w:t xml:space="preserve"> </w:t>
      </w:r>
      <w:proofErr w:type="spellStart"/>
      <w:r w:rsidR="00630722">
        <w:rPr>
          <w:i/>
          <w:sz w:val="22"/>
          <w:szCs w:val="22"/>
        </w:rPr>
        <w:t>et</w:t>
      </w:r>
      <w:proofErr w:type="spellEnd"/>
      <w:r w:rsidR="00630722">
        <w:rPr>
          <w:i/>
          <w:sz w:val="22"/>
          <w:szCs w:val="22"/>
        </w:rPr>
        <w:t xml:space="preserve"> </w:t>
      </w:r>
      <w:proofErr w:type="spellStart"/>
      <w:r w:rsidR="00630722">
        <w:rPr>
          <w:i/>
          <w:sz w:val="22"/>
          <w:szCs w:val="22"/>
        </w:rPr>
        <w:t>al</w:t>
      </w:r>
      <w:proofErr w:type="spellEnd"/>
      <w:r w:rsidR="00630722">
        <w:rPr>
          <w:i/>
          <w:sz w:val="22"/>
          <w:szCs w:val="22"/>
        </w:rPr>
        <w:t xml:space="preserve">. </w:t>
      </w:r>
      <w:r w:rsidRPr="00F320D5">
        <w:rPr>
          <w:i/>
          <w:sz w:val="22"/>
          <w:szCs w:val="22"/>
        </w:rPr>
        <w:t>2006</w:t>
      </w:r>
      <w:r w:rsidRPr="00F320D5">
        <w:rPr>
          <w:i/>
          <w:sz w:val="22"/>
          <w:szCs w:val="22"/>
          <w:lang w:val="en-US"/>
        </w:rPr>
        <w:t>;</w:t>
      </w:r>
      <w:r w:rsidRPr="00F320D5">
        <w:rPr>
          <w:i/>
          <w:sz w:val="22"/>
          <w:szCs w:val="22"/>
        </w:rPr>
        <w:t xml:space="preserve"> </w:t>
      </w:r>
      <w:proofErr w:type="spellStart"/>
      <w:r w:rsidRPr="00F320D5">
        <w:rPr>
          <w:i/>
          <w:sz w:val="22"/>
          <w:szCs w:val="22"/>
        </w:rPr>
        <w:t>Stichele</w:t>
      </w:r>
      <w:proofErr w:type="spellEnd"/>
      <w:r w:rsidRPr="00F320D5">
        <w:rPr>
          <w:i/>
          <w:sz w:val="22"/>
          <w:szCs w:val="22"/>
        </w:rPr>
        <w:t xml:space="preserve"> a </w:t>
      </w:r>
      <w:proofErr w:type="spellStart"/>
      <w:r w:rsidRPr="00F320D5">
        <w:rPr>
          <w:i/>
          <w:sz w:val="22"/>
          <w:szCs w:val="22"/>
        </w:rPr>
        <w:t>Verdonck</w:t>
      </w:r>
      <w:proofErr w:type="spellEnd"/>
      <w:r w:rsidRPr="00F320D5">
        <w:rPr>
          <w:i/>
          <w:sz w:val="22"/>
          <w:szCs w:val="22"/>
        </w:rPr>
        <w:t xml:space="preserve"> 2002</w:t>
      </w:r>
    </w:p>
    <w:p w:rsidR="009547C5" w:rsidRDefault="00375EC5" w:rsidP="00DE0163">
      <w:pPr>
        <w:pStyle w:val="Bezmezer"/>
        <w:ind w:firstLine="227"/>
      </w:pPr>
      <w:r>
        <w:t xml:space="preserve"> </w:t>
      </w:r>
    </w:p>
    <w:p w:rsidR="002F1043" w:rsidRPr="00630722" w:rsidRDefault="00B707C7" w:rsidP="00943269">
      <w:pPr>
        <w:pStyle w:val="Bezmezer"/>
        <w:ind w:firstLine="227"/>
        <w:jc w:val="both"/>
      </w:pPr>
      <w:r>
        <w:t xml:space="preserve">Regiony – podobně jako dodnes společenství – byly od svého vzniku financovány </w:t>
      </w:r>
      <w:r w:rsidR="00593EA9">
        <w:t>prostřednictvím vládních transfe</w:t>
      </w:r>
      <w:r>
        <w:t xml:space="preserve">rů, tzv. nepodmíněných či neúčelových grantů. Ty od roku 1980 doplňuje podíl ze sdílených daní. </w:t>
      </w:r>
      <w:r w:rsidR="00F0446D">
        <w:t>Avšak přijetím Zákona o zvláštním financování v roce 1989)</w:t>
      </w:r>
      <w:r w:rsidR="00036B87">
        <w:t xml:space="preserve"> a jeho doplněním v roce 1993,</w:t>
      </w:r>
      <w:r w:rsidR="00F0446D">
        <w:t xml:space="preserve"> bylo regionům – na rozdíl od společenství – přiznána </w:t>
      </w:r>
      <w:r w:rsidR="00F0446D">
        <w:lastRenderedPageBreak/>
        <w:t>fiskál</w:t>
      </w:r>
      <w:r w:rsidR="00630722">
        <w:t xml:space="preserve">ní autonomie – byť velmi omezená. </w:t>
      </w:r>
      <w:r w:rsidR="00F0446D">
        <w:t>Zákon stanoví čtyři způsob</w:t>
      </w:r>
      <w:r w:rsidR="00036B87">
        <w:t xml:space="preserve">y financování: </w:t>
      </w:r>
      <w:r w:rsidR="00171570">
        <w:t>(1)</w:t>
      </w:r>
      <w:r w:rsidR="00F0446D">
        <w:t xml:space="preserve"> transfer podílu z výběru daně z příjmu </w:t>
      </w:r>
      <w:r w:rsidR="00171570">
        <w:t>fyzických osob, (2) vyrovnávací granty (pro regiony s nižší než průměrnou úrovní příjm</w:t>
      </w:r>
      <w:r w:rsidR="00630722">
        <w:t>ů</w:t>
      </w:r>
      <w:r w:rsidR="00171570">
        <w:t xml:space="preserve"> na 1 obyvatele), (3) zvláštní účelové granty</w:t>
      </w:r>
      <w:r w:rsidR="002F1043">
        <w:t xml:space="preserve"> (</w:t>
      </w:r>
      <w:r w:rsidR="00FA7D34">
        <w:t>proplácené za každé jedno pracovní místo vytvořené regionem</w:t>
      </w:r>
      <w:r w:rsidR="002F1043">
        <w:t xml:space="preserve"> a rovnající se ušetřeným nákladům na podporu v nezaměstnanosti, jež je v kompetenci federální úrovně) a (4) tzv. regionální daně</w:t>
      </w:r>
      <w:r w:rsidR="00630722">
        <w:t xml:space="preserve"> </w:t>
      </w:r>
      <w:r w:rsidR="00630722">
        <w:rPr>
          <w:lang w:val="en-US"/>
        </w:rPr>
        <w:t>[</w:t>
      </w:r>
      <w:proofErr w:type="spellStart"/>
      <w:r w:rsidR="00630722" w:rsidRPr="00630722">
        <w:t>Stichele</w:t>
      </w:r>
      <w:proofErr w:type="spellEnd"/>
      <w:r w:rsidR="00630722" w:rsidRPr="00630722">
        <w:t xml:space="preserve"> a </w:t>
      </w:r>
      <w:proofErr w:type="spellStart"/>
      <w:r w:rsidR="00630722" w:rsidRPr="00630722">
        <w:t>Verdonck</w:t>
      </w:r>
      <w:proofErr w:type="spellEnd"/>
      <w:r w:rsidR="00630722" w:rsidRPr="00630722">
        <w:t xml:space="preserve"> 2002</w:t>
      </w:r>
      <w:r w:rsidR="00630722">
        <w:rPr>
          <w:lang w:val="en-US"/>
        </w:rPr>
        <w:t>]</w:t>
      </w:r>
      <w:r w:rsidR="002F1043" w:rsidRPr="00630722">
        <w:t xml:space="preserve"> </w:t>
      </w:r>
      <w:r w:rsidR="00FA7D34" w:rsidRPr="00630722">
        <w:t xml:space="preserve"> </w:t>
      </w:r>
    </w:p>
    <w:p w:rsidR="00AC19D1" w:rsidRDefault="002F1043" w:rsidP="00943269">
      <w:pPr>
        <w:pStyle w:val="Bezmezer"/>
        <w:ind w:firstLine="227"/>
        <w:jc w:val="both"/>
      </w:pPr>
      <w:r>
        <w:t>Prostřednictvím regionálních daní, které mohou regiony vypisovat a vybírat, tak získaly určitou míru fiskální autonomie.</w:t>
      </w:r>
      <w:r w:rsidR="00036B87">
        <w:t xml:space="preserve"> Avšak míra </w:t>
      </w:r>
      <w:r w:rsidR="00AC19D1">
        <w:t>„</w:t>
      </w:r>
      <w:r w:rsidR="00036B87">
        <w:t>regionalizace</w:t>
      </w:r>
      <w:r w:rsidR="00AC19D1">
        <w:t>“</w:t>
      </w:r>
      <w:r w:rsidR="00036B87">
        <w:t xml:space="preserve"> jednotlivých daní se významně liší, a to </w:t>
      </w:r>
      <w:r w:rsidR="00AC19D1">
        <w:t xml:space="preserve">podle toho, zda </w:t>
      </w:r>
      <w:r w:rsidR="00036B87">
        <w:t xml:space="preserve">mohou regiony určovat základ, sazbu, daňové </w:t>
      </w:r>
      <w:r w:rsidR="00AC19D1">
        <w:t>výjimky</w:t>
      </w:r>
      <w:r w:rsidR="00036B87">
        <w:t xml:space="preserve"> </w:t>
      </w:r>
      <w:r w:rsidR="00AC19D1">
        <w:t>či</w:t>
      </w:r>
      <w:r w:rsidR="00036B87">
        <w:t xml:space="preserve"> zda veškerý výnos připadá regionům. Jak je zřejmé z  tabulky </w:t>
      </w:r>
      <w:r w:rsidR="00630722">
        <w:t>3,</w:t>
      </w:r>
      <w:r w:rsidR="00036B87">
        <w:t xml:space="preserve"> </w:t>
      </w:r>
      <w:r w:rsidR="00AC19D1">
        <w:t xml:space="preserve">pouze daň z výherních zařízení a sázek, z automatických zábavních zařízení a daň z otevření </w:t>
      </w:r>
      <w:r w:rsidR="009547C5">
        <w:t>restauračních</w:t>
      </w:r>
      <w:r w:rsidR="00AC19D1">
        <w:t xml:space="preserve"> zařízení</w:t>
      </w:r>
      <w:r w:rsidR="009547C5">
        <w:t xml:space="preserve"> </w:t>
      </w:r>
      <w:r w:rsidR="00AC19D1">
        <w:t>představ</w:t>
      </w:r>
      <w:r w:rsidR="00630722">
        <w:t xml:space="preserve">ovali </w:t>
      </w:r>
      <w:r w:rsidR="00AC19D1">
        <w:t xml:space="preserve">výhradně regionální daně.V případě daně z nemovitosti a daně z dědictví pak byl základ daně určován federální úrovní. </w:t>
      </w:r>
    </w:p>
    <w:p w:rsidR="00384921" w:rsidRDefault="00AC19D1" w:rsidP="00943269">
      <w:pPr>
        <w:pStyle w:val="Bezmezer"/>
        <w:ind w:firstLine="227"/>
        <w:jc w:val="both"/>
        <w:rPr>
          <w:lang w:val="en-US"/>
        </w:rPr>
      </w:pPr>
      <w:r>
        <w:t>Výsledkem těc</w:t>
      </w:r>
      <w:r w:rsidR="00384921">
        <w:t xml:space="preserve">hto </w:t>
      </w:r>
      <w:r w:rsidR="00630722">
        <w:t>změn</w:t>
      </w:r>
      <w:r w:rsidR="00384921">
        <w:t xml:space="preserve"> však byl fakt, že regiony </w:t>
      </w:r>
      <w:r w:rsidR="00630722">
        <w:t xml:space="preserve">zůstaly </w:t>
      </w:r>
      <w:r w:rsidR="00384921">
        <w:t>významně závislé na federálním rozpočtu a na podílu ze sdílených daní. Tři výše zmíněné zcela „</w:t>
      </w:r>
      <w:proofErr w:type="spellStart"/>
      <w:r w:rsidR="00384921">
        <w:t>regionalizované</w:t>
      </w:r>
      <w:proofErr w:type="spellEnd"/>
      <w:r w:rsidR="00384921">
        <w:t xml:space="preserve">“ daně tvořily zhruba pouze 4 % veškerých výdajů regionů </w:t>
      </w:r>
      <w:r w:rsidR="00384921" w:rsidRPr="00384921">
        <w:rPr>
          <w:lang w:val="en-US"/>
        </w:rPr>
        <w:t>[</w:t>
      </w:r>
      <w:proofErr w:type="spellStart"/>
      <w:r w:rsidR="00384921" w:rsidRPr="00384921">
        <w:t>Stichele</w:t>
      </w:r>
      <w:proofErr w:type="spellEnd"/>
      <w:r w:rsidR="00384921" w:rsidRPr="00384921">
        <w:t xml:space="preserve"> a </w:t>
      </w:r>
      <w:proofErr w:type="spellStart"/>
      <w:r w:rsidR="00384921" w:rsidRPr="00384921">
        <w:t>Verdonck</w:t>
      </w:r>
      <w:proofErr w:type="spellEnd"/>
      <w:r w:rsidR="00384921" w:rsidRPr="00384921">
        <w:t xml:space="preserve"> 2002: </w:t>
      </w:r>
      <w:r w:rsidR="00384921">
        <w:t>25</w:t>
      </w:r>
      <w:r w:rsidR="00384921" w:rsidRPr="00384921">
        <w:rPr>
          <w:lang w:val="en-US"/>
        </w:rPr>
        <w:t>].</w:t>
      </w:r>
      <w:r w:rsidR="00384921">
        <w:rPr>
          <w:lang w:val="en-US"/>
        </w:rPr>
        <w:t xml:space="preserve"> </w:t>
      </w:r>
      <w:r w:rsidR="00C00088">
        <w:rPr>
          <w:lang w:val="en-US"/>
        </w:rPr>
        <w:t xml:space="preserve">To </w:t>
      </w:r>
      <w:r w:rsidR="00C00088" w:rsidRPr="00C00088">
        <w:t>ukazuje, že míra centralizace daňového syst</w:t>
      </w:r>
      <w:r w:rsidR="00C00088">
        <w:t>ému byla v</w:t>
      </w:r>
      <w:r w:rsidR="00B73DE0">
        <w:t> </w:t>
      </w:r>
      <w:r w:rsidR="00C00088">
        <w:t>Belgii</w:t>
      </w:r>
      <w:r w:rsidR="00B73DE0">
        <w:t xml:space="preserve"> i po federalizac</w:t>
      </w:r>
      <w:r w:rsidR="00140B0F">
        <w:t>i</w:t>
      </w:r>
      <w:r w:rsidR="00B73DE0">
        <w:t xml:space="preserve"> země</w:t>
      </w:r>
      <w:r w:rsidR="00C00088">
        <w:t xml:space="preserve"> velmi vysoká.</w:t>
      </w:r>
      <w:r w:rsidR="00B73DE0">
        <w:t xml:space="preserve"> </w:t>
      </w:r>
      <w:proofErr w:type="spellStart"/>
      <w:r w:rsidR="00B73DE0">
        <w:t>Hong</w:t>
      </w:r>
      <w:proofErr w:type="spellEnd"/>
      <w:r w:rsidR="00B73DE0">
        <w:t xml:space="preserve"> ve své práci ukazuje, že </w:t>
      </w:r>
      <w:r w:rsidR="00417C80">
        <w:t xml:space="preserve">v roce 1995 měla Belgie ze všech </w:t>
      </w:r>
      <w:r w:rsidR="00140B0F">
        <w:t xml:space="preserve">federálních států zahrnutých do </w:t>
      </w:r>
      <w:r w:rsidR="00B73DE0">
        <w:t>studie</w:t>
      </w:r>
      <w:r w:rsidR="00417C80">
        <w:t xml:space="preserve"> (tj.</w:t>
      </w:r>
      <w:r w:rsidR="00B73DE0">
        <w:t xml:space="preserve"> Austrálie, Kanada, Rakousko, Německo a Spojené státy americké)</w:t>
      </w:r>
      <w:r w:rsidR="00417C80">
        <w:t xml:space="preserve"> nejvyšší podíl daňových příjmů centrální vlády na celkových daňových příjmech – 87, 5 %. Což je hodnota </w:t>
      </w:r>
      <w:r w:rsidR="000825AC">
        <w:t>obvyklá spíše u</w:t>
      </w:r>
      <w:r w:rsidR="00417C80">
        <w:t xml:space="preserve"> </w:t>
      </w:r>
      <w:r w:rsidR="000825AC">
        <w:t>u</w:t>
      </w:r>
      <w:r w:rsidR="00417C80">
        <w:t>nitárních států</w:t>
      </w:r>
      <w:r w:rsidR="000825AC">
        <w:t xml:space="preserve"> </w:t>
      </w:r>
      <w:r w:rsidR="000825AC" w:rsidRPr="000825AC">
        <w:rPr>
          <w:lang w:val="en-US"/>
        </w:rPr>
        <w:t>[</w:t>
      </w:r>
      <w:proofErr w:type="spellStart"/>
      <w:r w:rsidR="000825AC" w:rsidRPr="000825AC">
        <w:t>Hong</w:t>
      </w:r>
      <w:proofErr w:type="spellEnd"/>
      <w:r w:rsidR="000825AC" w:rsidRPr="000825AC">
        <w:t xml:space="preserve"> 2002: </w:t>
      </w:r>
      <w:r w:rsidR="000825AC">
        <w:t xml:space="preserve"> 182 a 211</w:t>
      </w:r>
      <w:r w:rsidR="000825AC" w:rsidRPr="000825AC">
        <w:rPr>
          <w:lang w:val="en-US"/>
        </w:rPr>
        <w:t>].</w:t>
      </w:r>
    </w:p>
    <w:p w:rsidR="000825AC" w:rsidRDefault="00140B0F" w:rsidP="00140B0F">
      <w:pPr>
        <w:pStyle w:val="Bezmezer"/>
        <w:ind w:firstLine="227"/>
        <w:jc w:val="both"/>
      </w:pPr>
      <w:r>
        <w:t xml:space="preserve">Tento poznatek ostatně potvrzuje i tabulka č. 2. </w:t>
      </w:r>
      <w:r w:rsidR="000825AC" w:rsidRPr="00BE56C3">
        <w:t xml:space="preserve">Podíl příjmů federální vlády na celkových </w:t>
      </w:r>
      <w:r w:rsidR="00BE56C3" w:rsidRPr="00BE56C3">
        <w:t xml:space="preserve">vládních </w:t>
      </w:r>
      <w:r w:rsidR="000825AC" w:rsidRPr="00BE56C3">
        <w:t>příjmech</w:t>
      </w:r>
      <w:r w:rsidR="00BE56C3" w:rsidRPr="00BE56C3">
        <w:t xml:space="preserve"> (tzv. </w:t>
      </w:r>
      <w:proofErr w:type="spellStart"/>
      <w:r w:rsidR="00BE56C3" w:rsidRPr="00BE56C3">
        <w:rPr>
          <w:i/>
        </w:rPr>
        <w:t>general</w:t>
      </w:r>
      <w:proofErr w:type="spellEnd"/>
      <w:r w:rsidR="00BE56C3" w:rsidRPr="00BE56C3">
        <w:rPr>
          <w:i/>
        </w:rPr>
        <w:t xml:space="preserve"> </w:t>
      </w:r>
      <w:proofErr w:type="spellStart"/>
      <w:r w:rsidR="00BE56C3" w:rsidRPr="00BE56C3">
        <w:rPr>
          <w:i/>
        </w:rPr>
        <w:t>government</w:t>
      </w:r>
      <w:proofErr w:type="spellEnd"/>
      <w:r w:rsidR="00BE56C3" w:rsidRPr="00BE56C3">
        <w:rPr>
          <w:i/>
        </w:rPr>
        <w:t xml:space="preserve"> </w:t>
      </w:r>
      <w:proofErr w:type="spellStart"/>
      <w:r w:rsidR="00BE56C3" w:rsidRPr="00BE56C3">
        <w:rPr>
          <w:i/>
        </w:rPr>
        <w:t>revenues</w:t>
      </w:r>
      <w:proofErr w:type="spellEnd"/>
      <w:r w:rsidR="00BE56C3" w:rsidRPr="00BE56C3">
        <w:t>)</w:t>
      </w:r>
      <w:r w:rsidR="000825AC" w:rsidRPr="00BE56C3">
        <w:t xml:space="preserve"> </w:t>
      </w:r>
      <w:r w:rsidR="00BE56C3" w:rsidRPr="00BE56C3">
        <w:t>představoval v roce 1995 57,3 %</w:t>
      </w:r>
      <w:r w:rsidR="000332C5">
        <w:t xml:space="preserve">. </w:t>
      </w:r>
      <w:r w:rsidR="00BE56C3" w:rsidRPr="00BE56C3">
        <w:t>Tedy asi dvakrát více než tomu bylo v případě Německa (27,5  %)</w:t>
      </w:r>
      <w:r w:rsidR="000825AC" w:rsidRPr="00BE56C3">
        <w:t xml:space="preserve"> </w:t>
      </w:r>
      <w:r w:rsidR="00BE56C3">
        <w:t xml:space="preserve">a srovnatelně </w:t>
      </w:r>
      <w:r w:rsidR="000332C5">
        <w:t xml:space="preserve">s řadou </w:t>
      </w:r>
      <w:r w:rsidR="00BE56C3">
        <w:t>unitárních  států</w:t>
      </w:r>
      <w:r w:rsidR="000332C5">
        <w:t xml:space="preserve"> jako například </w:t>
      </w:r>
      <w:r w:rsidR="00BE56C3">
        <w:t>Maďarsko (</w:t>
      </w:r>
      <w:r w:rsidR="000332C5">
        <w:t>59,6 %) či Slovensko (61,1 %). Přitom</w:t>
      </w:r>
      <w:r w:rsidR="000332C5" w:rsidRPr="000332C5">
        <w:t xml:space="preserve"> podíl společenství a regionů  nedosáhl ani 6 %.</w:t>
      </w:r>
    </w:p>
    <w:p w:rsidR="002317EE" w:rsidRDefault="000332C5" w:rsidP="00140B0F">
      <w:pPr>
        <w:pStyle w:val="Bezmezer"/>
        <w:ind w:firstLine="227"/>
        <w:jc w:val="both"/>
      </w:pPr>
      <w:r>
        <w:t>Na druhou stranu je při pohledu na podíl výdajů federální vlády na celkových vládních výdajích</w:t>
      </w:r>
      <w:r w:rsidR="00892C79">
        <w:t xml:space="preserve"> (31, 7 %, </w:t>
      </w:r>
      <w:r w:rsidR="002317EE">
        <w:t>v Německu to bylo 29, 6 %</w:t>
      </w:r>
      <w:r w:rsidR="00892C79">
        <w:t>)</w:t>
      </w:r>
      <w:r>
        <w:t>,</w:t>
      </w:r>
      <w:r w:rsidR="00892C79">
        <w:t xml:space="preserve"> resp. podíl společenství a regionů (20, 5 %)</w:t>
      </w:r>
      <w:r>
        <w:t xml:space="preserve"> zřejmé, </w:t>
      </w:r>
      <w:r w:rsidR="002317EE">
        <w:t xml:space="preserve">že v Belgii existovala významná </w:t>
      </w:r>
      <w:r w:rsidR="00641D75">
        <w:t>v</w:t>
      </w:r>
      <w:r w:rsidR="002317EE" w:rsidRPr="002317EE">
        <w:t>ertikální fiskální nerov</w:t>
      </w:r>
      <w:r w:rsidR="002317EE">
        <w:t>nováha. Jejímž důsledkem výdaje společenství a regionů podstatně převyš</w:t>
      </w:r>
      <w:r w:rsidR="00641D75">
        <w:t>oval</w:t>
      </w:r>
      <w:r w:rsidR="00BF04AE">
        <w:t>y</w:t>
      </w:r>
      <w:r w:rsidR="002317EE">
        <w:t xml:space="preserve"> </w:t>
      </w:r>
      <w:r w:rsidR="00B243C4">
        <w:t xml:space="preserve">jejich </w:t>
      </w:r>
      <w:r w:rsidR="002317EE">
        <w:t xml:space="preserve">vlastní daňové příjmy. </w:t>
      </w:r>
    </w:p>
    <w:p w:rsidR="00DE0163" w:rsidRDefault="00DE0163" w:rsidP="00DE0163">
      <w:pPr>
        <w:pStyle w:val="Bezmezer"/>
      </w:pPr>
    </w:p>
    <w:p w:rsidR="00DE0163" w:rsidRDefault="00DE0163" w:rsidP="00DE0163">
      <w:pPr>
        <w:pStyle w:val="Bezmezer"/>
      </w:pPr>
    </w:p>
    <w:p w:rsidR="00943269" w:rsidRPr="00943269" w:rsidRDefault="00943269" w:rsidP="00943269">
      <w:pPr>
        <w:pStyle w:val="Titulek"/>
        <w:keepNext/>
        <w:rPr>
          <w:color w:val="auto"/>
          <w:sz w:val="24"/>
          <w:szCs w:val="24"/>
        </w:rPr>
      </w:pPr>
      <w:r w:rsidRPr="00943269">
        <w:rPr>
          <w:color w:val="auto"/>
          <w:sz w:val="24"/>
          <w:szCs w:val="24"/>
        </w:rPr>
        <w:t xml:space="preserve">Tabulka </w:t>
      </w:r>
      <w:r w:rsidR="0055602B" w:rsidRPr="00943269">
        <w:rPr>
          <w:color w:val="auto"/>
          <w:sz w:val="24"/>
          <w:szCs w:val="24"/>
        </w:rPr>
        <w:fldChar w:fldCharType="begin"/>
      </w:r>
      <w:r w:rsidRPr="00943269">
        <w:rPr>
          <w:color w:val="auto"/>
          <w:sz w:val="24"/>
          <w:szCs w:val="24"/>
        </w:rPr>
        <w:instrText xml:space="preserve"> SEQ Tabulka \* ARABIC </w:instrText>
      </w:r>
      <w:r w:rsidR="0055602B" w:rsidRPr="00943269">
        <w:rPr>
          <w:color w:val="auto"/>
          <w:sz w:val="24"/>
          <w:szCs w:val="24"/>
        </w:rPr>
        <w:fldChar w:fldCharType="separate"/>
      </w:r>
      <w:r w:rsidRPr="00943269">
        <w:rPr>
          <w:noProof/>
          <w:color w:val="auto"/>
          <w:sz w:val="24"/>
          <w:szCs w:val="24"/>
        </w:rPr>
        <w:t>2</w:t>
      </w:r>
      <w:r w:rsidR="0055602B" w:rsidRPr="00943269">
        <w:rPr>
          <w:color w:val="auto"/>
          <w:sz w:val="24"/>
          <w:szCs w:val="24"/>
        </w:rPr>
        <w:fldChar w:fldCharType="end"/>
      </w:r>
      <w:r w:rsidRPr="00943269">
        <w:rPr>
          <w:color w:val="auto"/>
          <w:sz w:val="24"/>
          <w:szCs w:val="24"/>
        </w:rPr>
        <w:t xml:space="preserve"> </w:t>
      </w:r>
      <w:r w:rsidR="00140B0F">
        <w:rPr>
          <w:color w:val="auto"/>
          <w:sz w:val="24"/>
          <w:szCs w:val="24"/>
        </w:rPr>
        <w:t>Distribuce</w:t>
      </w:r>
      <w:r w:rsidRPr="00943269">
        <w:rPr>
          <w:color w:val="auto"/>
          <w:sz w:val="24"/>
          <w:szCs w:val="24"/>
        </w:rPr>
        <w:t xml:space="preserve"> celkových vládních příjmů a výdajů podle vládní úrovně</w:t>
      </w:r>
    </w:p>
    <w:tbl>
      <w:tblPr>
        <w:tblStyle w:val="Stednstnovn2zvraznn2"/>
        <w:tblW w:w="0" w:type="auto"/>
        <w:tblLayout w:type="fixed"/>
        <w:tblLook w:val="04A0"/>
      </w:tblPr>
      <w:tblGrid>
        <w:gridCol w:w="1130"/>
        <w:gridCol w:w="678"/>
        <w:gridCol w:w="616"/>
        <w:gridCol w:w="619"/>
        <w:gridCol w:w="619"/>
        <w:gridCol w:w="619"/>
        <w:gridCol w:w="673"/>
        <w:gridCol w:w="616"/>
        <w:gridCol w:w="616"/>
        <w:gridCol w:w="868"/>
        <w:gridCol w:w="709"/>
        <w:gridCol w:w="909"/>
        <w:gridCol w:w="616"/>
      </w:tblGrid>
      <w:tr w:rsidR="00943269" w:rsidRPr="00EE188F" w:rsidTr="00943269">
        <w:trPr>
          <w:cnfStyle w:val="100000000000"/>
        </w:trPr>
        <w:tc>
          <w:tcPr>
            <w:cnfStyle w:val="001000000100"/>
            <w:tcW w:w="495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943269" w:rsidRPr="00943269" w:rsidRDefault="00943269" w:rsidP="00140B0F">
            <w:pPr>
              <w:pStyle w:val="Bezmezer"/>
              <w:jc w:val="center"/>
              <w:rPr>
                <w:sz w:val="20"/>
                <w:szCs w:val="20"/>
              </w:rPr>
            </w:pPr>
            <w:r w:rsidRPr="00943269">
              <w:rPr>
                <w:sz w:val="20"/>
                <w:szCs w:val="20"/>
              </w:rPr>
              <w:t>Podíl na celkových vládních</w:t>
            </w:r>
            <w:r w:rsidR="00140B0F">
              <w:rPr>
                <w:sz w:val="20"/>
                <w:szCs w:val="20"/>
              </w:rPr>
              <w:t xml:space="preserve"> výdajích</w:t>
            </w:r>
          </w:p>
        </w:tc>
        <w:tc>
          <w:tcPr>
            <w:tcW w:w="4334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943269" w:rsidRPr="00EE188F" w:rsidRDefault="00943269" w:rsidP="00140B0F">
            <w:pPr>
              <w:pStyle w:val="Bezmezer"/>
              <w:jc w:val="center"/>
              <w:cnfStyle w:val="100000000000"/>
              <w:rPr>
                <w:sz w:val="20"/>
                <w:szCs w:val="20"/>
              </w:rPr>
            </w:pPr>
            <w:r w:rsidRPr="00943269">
              <w:rPr>
                <w:sz w:val="20"/>
                <w:szCs w:val="20"/>
              </w:rPr>
              <w:t xml:space="preserve">Podíl na celkových vládních </w:t>
            </w:r>
            <w:r w:rsidR="00140B0F">
              <w:rPr>
                <w:sz w:val="20"/>
                <w:szCs w:val="20"/>
              </w:rPr>
              <w:t>příjmech</w:t>
            </w:r>
          </w:p>
        </w:tc>
      </w:tr>
      <w:tr w:rsidR="00943269" w:rsidRPr="00EE188F" w:rsidTr="00943269">
        <w:trPr>
          <w:cnfStyle w:val="000000100000"/>
        </w:trPr>
        <w:tc>
          <w:tcPr>
            <w:cnfStyle w:val="001000000000"/>
            <w:tcW w:w="1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269" w:rsidRPr="00943269" w:rsidRDefault="00943269" w:rsidP="00DE0163">
            <w:pPr>
              <w:pStyle w:val="Bezmezer"/>
              <w:rPr>
                <w:b w:val="0"/>
                <w:sz w:val="20"/>
                <w:szCs w:val="20"/>
              </w:rPr>
            </w:pPr>
            <w:r w:rsidRPr="00943269">
              <w:rPr>
                <w:b w:val="0"/>
                <w:sz w:val="20"/>
                <w:szCs w:val="20"/>
              </w:rPr>
              <w:t>Země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269" w:rsidRPr="00EE188F" w:rsidRDefault="00943269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Centrální vláda</w:t>
            </w:r>
          </w:p>
        </w:tc>
        <w:tc>
          <w:tcPr>
            <w:tcW w:w="12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269" w:rsidRPr="00EE188F" w:rsidRDefault="00943269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 w:rsidRPr="00EE188F">
              <w:rPr>
                <w:i/>
                <w:sz w:val="20"/>
                <w:szCs w:val="20"/>
              </w:rPr>
              <w:t xml:space="preserve"> </w:t>
            </w:r>
            <w:r w:rsidRPr="00EE188F">
              <w:rPr>
                <w:sz w:val="20"/>
                <w:szCs w:val="20"/>
              </w:rPr>
              <w:t xml:space="preserve">Prostřední úroveň / </w:t>
            </w:r>
            <w:proofErr w:type="spellStart"/>
            <w:r w:rsidRPr="00EE188F">
              <w:rPr>
                <w:i/>
                <w:sz w:val="20"/>
                <w:szCs w:val="20"/>
              </w:rPr>
              <w:t>Intermediate</w:t>
            </w:r>
            <w:proofErr w:type="spellEnd"/>
            <w:r w:rsidRPr="00EE18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E188F">
              <w:rPr>
                <w:i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1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269" w:rsidRPr="00EE188F" w:rsidRDefault="00943269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Lokální úroveň a systém sociálního zabezpečení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269" w:rsidRPr="00EE188F" w:rsidRDefault="00943269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Centrální vláda</w:t>
            </w:r>
          </w:p>
        </w:tc>
        <w:tc>
          <w:tcPr>
            <w:tcW w:w="15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269" w:rsidRPr="00EE188F" w:rsidRDefault="00943269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 xml:space="preserve">Prostřední úroveň / </w:t>
            </w:r>
            <w:proofErr w:type="spellStart"/>
            <w:r w:rsidRPr="00EE188F">
              <w:rPr>
                <w:i/>
                <w:sz w:val="20"/>
                <w:szCs w:val="20"/>
              </w:rPr>
              <w:t>Intermediate</w:t>
            </w:r>
            <w:proofErr w:type="spellEnd"/>
            <w:r w:rsidRPr="00EE18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E188F">
              <w:rPr>
                <w:i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269" w:rsidRPr="00EE188F" w:rsidRDefault="00943269" w:rsidP="00DE0163">
            <w:pPr>
              <w:pStyle w:val="Bezmezer"/>
              <w:cnfStyle w:val="000000100000"/>
              <w:rPr>
                <w:i/>
                <w:sz w:val="20"/>
                <w:szCs w:val="20"/>
              </w:rPr>
            </w:pPr>
            <w:r w:rsidRPr="00EE188F">
              <w:rPr>
                <w:i/>
                <w:sz w:val="20"/>
                <w:szCs w:val="20"/>
              </w:rPr>
              <w:t>Lokální úroveň a systém sociálního zabezpečení</w:t>
            </w:r>
          </w:p>
        </w:tc>
      </w:tr>
      <w:tr w:rsidR="00EE188F" w:rsidRPr="00EE188F" w:rsidTr="00943269">
        <w:tc>
          <w:tcPr>
            <w:cnfStyle w:val="001000000000"/>
            <w:tcW w:w="11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188F" w:rsidRPr="00943269" w:rsidRDefault="00EE188F" w:rsidP="00DE0163">
            <w:pPr>
              <w:pStyle w:val="Bezmezer"/>
              <w:rPr>
                <w:b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1995</w:t>
            </w:r>
          </w:p>
        </w:tc>
        <w:tc>
          <w:tcPr>
            <w:tcW w:w="61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2005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1995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2005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1995</w:t>
            </w:r>
          </w:p>
        </w:tc>
        <w:tc>
          <w:tcPr>
            <w:tcW w:w="67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2005</w:t>
            </w:r>
          </w:p>
        </w:tc>
        <w:tc>
          <w:tcPr>
            <w:tcW w:w="61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61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61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</w:tr>
      <w:tr w:rsidR="00EE188F" w:rsidRPr="00EE188F" w:rsidTr="00943269">
        <w:trPr>
          <w:cnfStyle w:val="000000100000"/>
        </w:trPr>
        <w:tc>
          <w:tcPr>
            <w:cnfStyle w:val="001000000000"/>
            <w:tcW w:w="1130" w:type="dxa"/>
            <w:tcBorders>
              <w:left w:val="single" w:sz="18" w:space="0" w:color="auto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Belgie</w:t>
            </w:r>
          </w:p>
        </w:tc>
        <w:tc>
          <w:tcPr>
            <w:tcW w:w="67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31,7</w:t>
            </w:r>
          </w:p>
        </w:tc>
        <w:tc>
          <w:tcPr>
            <w:tcW w:w="61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23,2</w:t>
            </w:r>
          </w:p>
        </w:tc>
        <w:tc>
          <w:tcPr>
            <w:tcW w:w="6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20,5</w:t>
            </w:r>
          </w:p>
        </w:tc>
        <w:tc>
          <w:tcPr>
            <w:tcW w:w="6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23,6</w:t>
            </w:r>
          </w:p>
        </w:tc>
        <w:tc>
          <w:tcPr>
            <w:tcW w:w="6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47,8</w:t>
            </w:r>
          </w:p>
        </w:tc>
        <w:tc>
          <w:tcPr>
            <w:tcW w:w="67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53, 2</w:t>
            </w:r>
          </w:p>
        </w:tc>
        <w:tc>
          <w:tcPr>
            <w:tcW w:w="61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  <w:tc>
          <w:tcPr>
            <w:tcW w:w="61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86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9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61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943269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EE188F" w:rsidRPr="00EE188F" w:rsidTr="00943269">
        <w:tc>
          <w:tcPr>
            <w:cnfStyle w:val="001000000000"/>
            <w:tcW w:w="1130" w:type="dxa"/>
            <w:tcBorders>
              <w:left w:val="single" w:sz="18" w:space="0" w:color="auto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Německo</w:t>
            </w:r>
          </w:p>
        </w:tc>
        <w:tc>
          <w:tcPr>
            <w:tcW w:w="67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29,6</w:t>
            </w:r>
          </w:p>
        </w:tc>
        <w:tc>
          <w:tcPr>
            <w:tcW w:w="61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19,1</w:t>
            </w:r>
          </w:p>
        </w:tc>
        <w:tc>
          <w:tcPr>
            <w:tcW w:w="6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18,7</w:t>
            </w:r>
          </w:p>
        </w:tc>
        <w:tc>
          <w:tcPr>
            <w:tcW w:w="6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21,9</w:t>
            </w:r>
          </w:p>
        </w:tc>
        <w:tc>
          <w:tcPr>
            <w:tcW w:w="6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51,7</w:t>
            </w:r>
          </w:p>
        </w:tc>
        <w:tc>
          <w:tcPr>
            <w:tcW w:w="67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61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61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86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  <w:tc>
          <w:tcPr>
            <w:tcW w:w="9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943269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61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943269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</w:tr>
      <w:tr w:rsidR="00EE188F" w:rsidRPr="00EE188F" w:rsidTr="00943269">
        <w:trPr>
          <w:cnfStyle w:val="000000100000"/>
        </w:trPr>
        <w:tc>
          <w:tcPr>
            <w:cnfStyle w:val="001000000000"/>
            <w:tcW w:w="1130" w:type="dxa"/>
            <w:tcBorders>
              <w:left w:val="single" w:sz="18" w:space="0" w:color="auto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Maďarsko</w:t>
            </w:r>
          </w:p>
        </w:tc>
        <w:tc>
          <w:tcPr>
            <w:tcW w:w="67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51,4</w:t>
            </w:r>
          </w:p>
        </w:tc>
        <w:tc>
          <w:tcPr>
            <w:tcW w:w="61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49,4</w:t>
            </w:r>
          </w:p>
        </w:tc>
        <w:tc>
          <w:tcPr>
            <w:tcW w:w="6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48,6</w:t>
            </w:r>
          </w:p>
        </w:tc>
        <w:tc>
          <w:tcPr>
            <w:tcW w:w="67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50,6</w:t>
            </w:r>
          </w:p>
        </w:tc>
        <w:tc>
          <w:tcPr>
            <w:tcW w:w="61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</w:tc>
        <w:tc>
          <w:tcPr>
            <w:tcW w:w="61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86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943269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61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188F" w:rsidRPr="00EE188F" w:rsidRDefault="00943269" w:rsidP="00DE0163">
            <w:pPr>
              <w:pStyle w:val="Bezmez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</w:tr>
      <w:tr w:rsidR="00EE188F" w:rsidRPr="00EE188F" w:rsidTr="00943269">
        <w:tc>
          <w:tcPr>
            <w:cnfStyle w:val="001000000000"/>
            <w:tcW w:w="1130" w:type="dxa"/>
            <w:tcBorders>
              <w:left w:val="single" w:sz="18" w:space="0" w:color="auto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Slovensko</w:t>
            </w:r>
          </w:p>
        </w:tc>
        <w:tc>
          <w:tcPr>
            <w:tcW w:w="6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61,4</w:t>
            </w:r>
          </w:p>
        </w:tc>
        <w:tc>
          <w:tcPr>
            <w:tcW w:w="61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48,4</w:t>
            </w:r>
          </w:p>
        </w:tc>
        <w:tc>
          <w:tcPr>
            <w:tcW w:w="61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38,6</w:t>
            </w:r>
          </w:p>
        </w:tc>
        <w:tc>
          <w:tcPr>
            <w:tcW w:w="67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 w:rsidRPr="00EE188F">
              <w:rPr>
                <w:sz w:val="20"/>
                <w:szCs w:val="20"/>
              </w:rPr>
              <w:t>51,6</w:t>
            </w:r>
          </w:p>
        </w:tc>
        <w:tc>
          <w:tcPr>
            <w:tcW w:w="61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61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86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188F" w:rsidRPr="00EE188F" w:rsidRDefault="00EE188F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188F" w:rsidRPr="00EE188F" w:rsidRDefault="00943269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  <w:tc>
          <w:tcPr>
            <w:tcW w:w="61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188F" w:rsidRPr="00EE188F" w:rsidRDefault="00943269" w:rsidP="00DE0163">
            <w:pPr>
              <w:pStyle w:val="Bezmez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</w:tbl>
    <w:p w:rsidR="00DE0163" w:rsidRPr="00943269" w:rsidRDefault="00943269" w:rsidP="00943269">
      <w:pPr>
        <w:pStyle w:val="Bezmezer"/>
        <w:jc w:val="center"/>
        <w:rPr>
          <w:i/>
          <w:sz w:val="22"/>
          <w:szCs w:val="22"/>
        </w:rPr>
      </w:pPr>
      <w:r w:rsidRPr="00943269">
        <w:rPr>
          <w:i/>
          <w:sz w:val="22"/>
          <w:szCs w:val="22"/>
        </w:rPr>
        <w:t xml:space="preserve">Zdroj: </w:t>
      </w:r>
      <w:proofErr w:type="spellStart"/>
      <w:r w:rsidRPr="00943269">
        <w:rPr>
          <w:i/>
          <w:sz w:val="22"/>
          <w:szCs w:val="22"/>
        </w:rPr>
        <w:t>Leibfritz</w:t>
      </w:r>
      <w:proofErr w:type="spellEnd"/>
      <w:r w:rsidRPr="00943269">
        <w:rPr>
          <w:i/>
          <w:sz w:val="22"/>
          <w:szCs w:val="22"/>
        </w:rPr>
        <w:t xml:space="preserve"> 2009: 9</w:t>
      </w:r>
    </w:p>
    <w:p w:rsidR="00DE0163" w:rsidRDefault="00DE0163" w:rsidP="00DE0163">
      <w:pPr>
        <w:pStyle w:val="Bezmezer"/>
      </w:pPr>
    </w:p>
    <w:p w:rsidR="00DE0163" w:rsidRDefault="00DE0163" w:rsidP="00DE0163">
      <w:pPr>
        <w:pStyle w:val="Bezmezer"/>
      </w:pPr>
    </w:p>
    <w:p w:rsidR="00DE0163" w:rsidRDefault="00DE0163" w:rsidP="00DE0163">
      <w:pPr>
        <w:pStyle w:val="Bezmezer"/>
      </w:pPr>
    </w:p>
    <w:p w:rsidR="00DE0163" w:rsidRDefault="00DE0163" w:rsidP="00DE0163">
      <w:pPr>
        <w:pStyle w:val="Bezmezer"/>
      </w:pPr>
    </w:p>
    <w:p w:rsidR="00DE0163" w:rsidRDefault="00DE0163" w:rsidP="00DE0163">
      <w:pPr>
        <w:pStyle w:val="Bezmezer"/>
      </w:pPr>
    </w:p>
    <w:p w:rsidR="00DE0163" w:rsidRDefault="00DE0163" w:rsidP="00DE0163">
      <w:pPr>
        <w:pStyle w:val="Bezmezer"/>
      </w:pPr>
    </w:p>
    <w:p w:rsidR="00DE0163" w:rsidRDefault="00DE0163" w:rsidP="00DE0163">
      <w:pPr>
        <w:pStyle w:val="Bezmezer"/>
      </w:pPr>
    </w:p>
    <w:p w:rsidR="009547C5" w:rsidRDefault="00A970F4" w:rsidP="00B243C4">
      <w:pPr>
        <w:pStyle w:val="Bezmezer"/>
        <w:ind w:firstLine="227"/>
        <w:jc w:val="both"/>
      </w:pPr>
      <w:r>
        <w:t>Byl</w:t>
      </w:r>
      <w:r w:rsidR="00140B0F">
        <w:t>y</w:t>
      </w:r>
      <w:r>
        <w:t xml:space="preserve"> to především hlasy z regionu Flandry, které volaly v druhé polovině 90. let 20. století po širší fiskální autonomii regionů. Výsledkem byla řada jednání v letech 2000-2001, které vyústily v přijetí zvláštního zákona v roce 2001. Na základě této normy došlo k</w:t>
      </w:r>
      <w:r w:rsidR="00BF04AE">
        <w:t xml:space="preserve"> další</w:t>
      </w:r>
      <w:r w:rsidR="00630722">
        <w:t xml:space="preserve"> regionalizaci daní </w:t>
      </w:r>
      <w:r w:rsidR="00630722" w:rsidRPr="00630722">
        <w:rPr>
          <w:lang w:val="en-US"/>
        </w:rPr>
        <w:t>[</w:t>
      </w:r>
      <w:proofErr w:type="spellStart"/>
      <w:r w:rsidR="00630722">
        <w:t>Stichele</w:t>
      </w:r>
      <w:proofErr w:type="spellEnd"/>
      <w:r w:rsidR="00630722">
        <w:t xml:space="preserve"> a </w:t>
      </w:r>
      <w:proofErr w:type="spellStart"/>
      <w:r w:rsidR="00630722">
        <w:t>Verdonck</w:t>
      </w:r>
      <w:proofErr w:type="spellEnd"/>
      <w:r w:rsidR="00630722">
        <w:t xml:space="preserve"> 2002</w:t>
      </w:r>
      <w:r w:rsidR="00630722" w:rsidRPr="00630722">
        <w:rPr>
          <w:lang w:val="en-US"/>
        </w:rPr>
        <w:t>].</w:t>
      </w:r>
    </w:p>
    <w:p w:rsidR="009547C5" w:rsidRDefault="009547C5" w:rsidP="00DE0163">
      <w:pPr>
        <w:pStyle w:val="Bezmezer"/>
      </w:pPr>
    </w:p>
    <w:p w:rsidR="00DE0163" w:rsidRPr="00DE0163" w:rsidRDefault="00DE0163" w:rsidP="00DE0163">
      <w:pPr>
        <w:pStyle w:val="Titulek"/>
        <w:keepNext/>
        <w:rPr>
          <w:color w:val="auto"/>
          <w:sz w:val="24"/>
          <w:szCs w:val="24"/>
        </w:rPr>
      </w:pPr>
      <w:r w:rsidRPr="00DE0163">
        <w:rPr>
          <w:color w:val="auto"/>
          <w:sz w:val="24"/>
          <w:szCs w:val="24"/>
        </w:rPr>
        <w:t xml:space="preserve">Tabulka </w:t>
      </w:r>
      <w:r w:rsidR="0055602B" w:rsidRPr="00DE0163">
        <w:rPr>
          <w:color w:val="auto"/>
          <w:sz w:val="24"/>
          <w:szCs w:val="24"/>
        </w:rPr>
        <w:fldChar w:fldCharType="begin"/>
      </w:r>
      <w:r w:rsidRPr="00DE0163">
        <w:rPr>
          <w:color w:val="auto"/>
          <w:sz w:val="24"/>
          <w:szCs w:val="24"/>
        </w:rPr>
        <w:instrText xml:space="preserve"> SEQ Tabulka \* ARABIC </w:instrText>
      </w:r>
      <w:r w:rsidR="0055602B" w:rsidRPr="00DE0163">
        <w:rPr>
          <w:color w:val="auto"/>
          <w:sz w:val="24"/>
          <w:szCs w:val="24"/>
        </w:rPr>
        <w:fldChar w:fldCharType="separate"/>
      </w:r>
      <w:r w:rsidR="00943269">
        <w:rPr>
          <w:noProof/>
          <w:color w:val="auto"/>
          <w:sz w:val="24"/>
          <w:szCs w:val="24"/>
        </w:rPr>
        <w:t>3</w:t>
      </w:r>
      <w:r w:rsidR="0055602B" w:rsidRPr="00DE0163">
        <w:rPr>
          <w:color w:val="auto"/>
          <w:sz w:val="24"/>
          <w:szCs w:val="24"/>
        </w:rPr>
        <w:fldChar w:fldCharType="end"/>
      </w:r>
      <w:r w:rsidRPr="00DE0163">
        <w:rPr>
          <w:color w:val="auto"/>
          <w:sz w:val="24"/>
          <w:szCs w:val="24"/>
        </w:rPr>
        <w:t xml:space="preserve"> Regionální daně od r. 2001</w:t>
      </w:r>
      <w:r w:rsidR="00140B0F">
        <w:rPr>
          <w:rStyle w:val="Znakapoznpodarou"/>
          <w:color w:val="auto"/>
          <w:sz w:val="24"/>
          <w:szCs w:val="24"/>
        </w:rPr>
        <w:footnoteReference w:id="3"/>
      </w:r>
    </w:p>
    <w:tbl>
      <w:tblPr>
        <w:tblStyle w:val="Stednstnovn2zvraznn2"/>
        <w:tblW w:w="0" w:type="auto"/>
        <w:tblBorders>
          <w:left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 w:rsidR="009547C5" w:rsidTr="00DE0163">
        <w:trPr>
          <w:cnfStyle w:val="100000000000"/>
        </w:trPr>
        <w:tc>
          <w:tcPr>
            <w:cnfStyle w:val="00100000010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47C5" w:rsidRPr="00DE0163" w:rsidRDefault="009547C5" w:rsidP="00DE0163">
            <w:pPr>
              <w:pStyle w:val="Bezmezer"/>
              <w:jc w:val="center"/>
              <w:rPr>
                <w:sz w:val="22"/>
                <w:szCs w:val="22"/>
              </w:rPr>
            </w:pPr>
            <w:r w:rsidRPr="00DE0163">
              <w:rPr>
                <w:sz w:val="22"/>
                <w:szCs w:val="22"/>
              </w:rPr>
              <w:t>Regionální daně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9547C5" w:rsidRDefault="009547C5" w:rsidP="00DE0163">
            <w:pPr>
              <w:pStyle w:val="Bezmezer"/>
              <w:jc w:val="center"/>
              <w:cnfStyle w:val="100000000000"/>
            </w:pPr>
            <w:r>
              <w:t>Základ daně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9547C5" w:rsidRDefault="009547C5" w:rsidP="00DE0163">
            <w:pPr>
              <w:pStyle w:val="Bezmezer"/>
              <w:jc w:val="center"/>
              <w:cnfStyle w:val="100000000000"/>
            </w:pPr>
            <w:r>
              <w:t>Sazba daně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9547C5" w:rsidRDefault="009547C5" w:rsidP="00DE0163">
            <w:pPr>
              <w:pStyle w:val="Bezmezer"/>
              <w:jc w:val="center"/>
              <w:cnfStyle w:val="100000000000"/>
            </w:pPr>
            <w:r>
              <w:t>Výjimka z daně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9547C5" w:rsidRDefault="009547C5" w:rsidP="00DE0163">
            <w:pPr>
              <w:pStyle w:val="Bezmezer"/>
              <w:jc w:val="center"/>
              <w:cnfStyle w:val="100000000000"/>
            </w:pPr>
            <w:r>
              <w:t>Příjem</w:t>
            </w:r>
          </w:p>
        </w:tc>
      </w:tr>
      <w:tr w:rsidR="009547C5" w:rsidTr="00DE0163">
        <w:trPr>
          <w:cnfStyle w:val="000000100000"/>
          <w:trHeight w:val="543"/>
        </w:trPr>
        <w:tc>
          <w:tcPr>
            <w:cnfStyle w:val="001000000000"/>
            <w:tcW w:w="18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47C5" w:rsidRPr="00DE0163" w:rsidRDefault="009547C5" w:rsidP="00DE0163">
            <w:pPr>
              <w:pStyle w:val="Bezmezer"/>
              <w:rPr>
                <w:i/>
                <w:sz w:val="22"/>
                <w:szCs w:val="22"/>
              </w:rPr>
            </w:pPr>
            <w:r w:rsidRPr="00DE0163">
              <w:rPr>
                <w:i/>
                <w:sz w:val="22"/>
                <w:szCs w:val="22"/>
              </w:rPr>
              <w:t>daň z výherních zařízení a sázek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100000"/>
              <w:rPr>
                <w:i/>
              </w:rPr>
            </w:pPr>
            <w:r w:rsidRPr="00DE0163">
              <w:rPr>
                <w:i/>
              </w:rPr>
              <w:t>Region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100000"/>
              <w:rPr>
                <w:i/>
              </w:rPr>
            </w:pPr>
            <w:r w:rsidRPr="00DE0163">
              <w:rPr>
                <w:i/>
              </w:rPr>
              <w:t>Region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100000"/>
              <w:rPr>
                <w:i/>
              </w:rPr>
            </w:pPr>
            <w:r w:rsidRPr="00DE0163">
              <w:rPr>
                <w:i/>
              </w:rPr>
              <w:t>Region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100000"/>
              <w:rPr>
                <w:i/>
              </w:rPr>
            </w:pPr>
            <w:r w:rsidRPr="00DE0163">
              <w:rPr>
                <w:i/>
              </w:rPr>
              <w:t>100</w:t>
            </w:r>
            <w:r>
              <w:rPr>
                <w:i/>
              </w:rPr>
              <w:t xml:space="preserve"> </w:t>
            </w:r>
            <w:r w:rsidRPr="00DE0163">
              <w:rPr>
                <w:i/>
              </w:rPr>
              <w:t>% region</w:t>
            </w:r>
          </w:p>
        </w:tc>
      </w:tr>
      <w:tr w:rsidR="009547C5" w:rsidTr="00DE0163">
        <w:trPr>
          <w:trHeight w:val="567"/>
        </w:trPr>
        <w:tc>
          <w:tcPr>
            <w:cnfStyle w:val="001000000000"/>
            <w:tcW w:w="18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47C5" w:rsidRPr="00DE0163" w:rsidRDefault="009547C5" w:rsidP="00DE0163">
            <w:pPr>
              <w:pStyle w:val="Bezmezer"/>
              <w:rPr>
                <w:i/>
                <w:sz w:val="22"/>
                <w:szCs w:val="22"/>
              </w:rPr>
            </w:pPr>
            <w:r w:rsidRPr="00DE0163">
              <w:rPr>
                <w:i/>
                <w:sz w:val="22"/>
                <w:szCs w:val="22"/>
              </w:rPr>
              <w:t>daň z automatických zábavních zařízení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000000"/>
              <w:rPr>
                <w:i/>
              </w:rPr>
            </w:pPr>
            <w:r w:rsidRPr="00DE0163">
              <w:rPr>
                <w:i/>
              </w:rPr>
              <w:t>Region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000000"/>
              <w:rPr>
                <w:i/>
              </w:rPr>
            </w:pPr>
            <w:r w:rsidRPr="00DE0163">
              <w:rPr>
                <w:i/>
              </w:rPr>
              <w:t>Region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000000"/>
              <w:rPr>
                <w:i/>
              </w:rPr>
            </w:pPr>
            <w:r w:rsidRPr="00DE0163">
              <w:rPr>
                <w:i/>
              </w:rPr>
              <w:t>Region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000000"/>
              <w:rPr>
                <w:i/>
              </w:rPr>
            </w:pPr>
            <w:r w:rsidRPr="00DE0163">
              <w:rPr>
                <w:i/>
              </w:rPr>
              <w:t>100</w:t>
            </w:r>
            <w:r>
              <w:rPr>
                <w:i/>
              </w:rPr>
              <w:t xml:space="preserve"> </w:t>
            </w:r>
            <w:r w:rsidRPr="00DE0163">
              <w:rPr>
                <w:i/>
              </w:rPr>
              <w:t>% region</w:t>
            </w:r>
          </w:p>
        </w:tc>
      </w:tr>
      <w:tr w:rsidR="009547C5" w:rsidTr="00DE0163">
        <w:trPr>
          <w:cnfStyle w:val="000000100000"/>
        </w:trPr>
        <w:tc>
          <w:tcPr>
            <w:cnfStyle w:val="001000000000"/>
            <w:tcW w:w="18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47C5" w:rsidRPr="00DE0163" w:rsidRDefault="009547C5" w:rsidP="00DE0163">
            <w:pPr>
              <w:pStyle w:val="Bezmezer"/>
              <w:rPr>
                <w:i/>
                <w:sz w:val="22"/>
                <w:szCs w:val="22"/>
              </w:rPr>
            </w:pPr>
            <w:r w:rsidRPr="00DE0163">
              <w:rPr>
                <w:i/>
                <w:sz w:val="22"/>
                <w:szCs w:val="22"/>
              </w:rPr>
              <w:t>daň z otevření restauračních zařízení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100000"/>
              <w:rPr>
                <w:i/>
              </w:rPr>
            </w:pPr>
            <w:r w:rsidRPr="00DE0163">
              <w:rPr>
                <w:i/>
              </w:rPr>
              <w:t>Region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100000"/>
              <w:rPr>
                <w:i/>
              </w:rPr>
            </w:pPr>
            <w:r w:rsidRPr="00DE0163">
              <w:rPr>
                <w:i/>
              </w:rPr>
              <w:t>Region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100000"/>
              <w:rPr>
                <w:i/>
              </w:rPr>
            </w:pPr>
            <w:r w:rsidRPr="00DE0163">
              <w:rPr>
                <w:i/>
              </w:rPr>
              <w:t>Region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100000"/>
              <w:rPr>
                <w:i/>
              </w:rPr>
            </w:pPr>
            <w:r w:rsidRPr="00DE0163">
              <w:rPr>
                <w:i/>
              </w:rPr>
              <w:t>100</w:t>
            </w:r>
            <w:r>
              <w:rPr>
                <w:i/>
              </w:rPr>
              <w:t xml:space="preserve"> </w:t>
            </w:r>
            <w:r w:rsidRPr="00DE0163">
              <w:rPr>
                <w:i/>
              </w:rPr>
              <w:t>% region</w:t>
            </w:r>
          </w:p>
        </w:tc>
      </w:tr>
      <w:tr w:rsidR="009547C5" w:rsidTr="00DE0163">
        <w:tc>
          <w:tcPr>
            <w:cnfStyle w:val="001000000000"/>
            <w:tcW w:w="18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47C5" w:rsidRPr="00DE0163" w:rsidRDefault="009547C5" w:rsidP="00DE0163">
            <w:pPr>
              <w:pStyle w:val="Bezmezer"/>
              <w:rPr>
                <w:i/>
                <w:sz w:val="22"/>
                <w:szCs w:val="22"/>
              </w:rPr>
            </w:pPr>
            <w:r w:rsidRPr="00DE0163">
              <w:rPr>
                <w:i/>
                <w:sz w:val="22"/>
                <w:szCs w:val="22"/>
              </w:rPr>
              <w:t>daně z nemovitosti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000000"/>
              <w:rPr>
                <w:b/>
              </w:rPr>
            </w:pPr>
            <w:r w:rsidRPr="00DE0163">
              <w:rPr>
                <w:b/>
              </w:rPr>
              <w:t>Region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000000"/>
              <w:rPr>
                <w:i/>
              </w:rPr>
            </w:pPr>
            <w:r w:rsidRPr="00DE0163">
              <w:rPr>
                <w:i/>
              </w:rPr>
              <w:t>Region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000000"/>
              <w:rPr>
                <w:i/>
              </w:rPr>
            </w:pPr>
            <w:r w:rsidRPr="00DE0163">
              <w:rPr>
                <w:i/>
              </w:rPr>
              <w:t>Region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000000"/>
              <w:rPr>
                <w:i/>
              </w:rPr>
            </w:pPr>
            <w:r w:rsidRPr="00DE0163">
              <w:rPr>
                <w:i/>
              </w:rPr>
              <w:t>100</w:t>
            </w:r>
            <w:r>
              <w:rPr>
                <w:i/>
              </w:rPr>
              <w:t xml:space="preserve"> </w:t>
            </w:r>
            <w:r w:rsidRPr="00DE0163">
              <w:rPr>
                <w:i/>
              </w:rPr>
              <w:t>% region</w:t>
            </w:r>
          </w:p>
        </w:tc>
      </w:tr>
      <w:tr w:rsidR="009547C5" w:rsidTr="00DE0163">
        <w:trPr>
          <w:cnfStyle w:val="000000100000"/>
        </w:trPr>
        <w:tc>
          <w:tcPr>
            <w:cnfStyle w:val="001000000000"/>
            <w:tcW w:w="18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47C5" w:rsidRPr="00DE0163" w:rsidRDefault="009547C5" w:rsidP="00DE0163">
            <w:pPr>
              <w:pStyle w:val="Bezmezer"/>
              <w:rPr>
                <w:i/>
                <w:sz w:val="22"/>
                <w:szCs w:val="22"/>
              </w:rPr>
            </w:pPr>
            <w:r w:rsidRPr="00DE0163">
              <w:rPr>
                <w:i/>
                <w:sz w:val="22"/>
                <w:szCs w:val="22"/>
              </w:rPr>
              <w:t>daň z dědictví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100000"/>
            </w:pPr>
            <w:r w:rsidRPr="00DE0163">
              <w:rPr>
                <w:b/>
              </w:rPr>
              <w:t>Region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100000"/>
              <w:rPr>
                <w:i/>
              </w:rPr>
            </w:pPr>
            <w:r w:rsidRPr="00DE0163">
              <w:rPr>
                <w:i/>
              </w:rPr>
              <w:t>Region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100000"/>
              <w:rPr>
                <w:i/>
              </w:rPr>
            </w:pPr>
            <w:r w:rsidRPr="00DE0163">
              <w:rPr>
                <w:i/>
              </w:rPr>
              <w:t>Region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100000"/>
              <w:rPr>
                <w:i/>
              </w:rPr>
            </w:pPr>
            <w:r w:rsidRPr="00DE0163">
              <w:rPr>
                <w:i/>
              </w:rPr>
              <w:t>100</w:t>
            </w:r>
            <w:r>
              <w:rPr>
                <w:i/>
              </w:rPr>
              <w:t xml:space="preserve"> </w:t>
            </w:r>
            <w:r w:rsidRPr="00DE0163">
              <w:rPr>
                <w:i/>
              </w:rPr>
              <w:t>% region</w:t>
            </w:r>
          </w:p>
        </w:tc>
      </w:tr>
      <w:tr w:rsidR="009547C5" w:rsidTr="00DE0163">
        <w:tc>
          <w:tcPr>
            <w:cnfStyle w:val="001000000000"/>
            <w:tcW w:w="18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47C5" w:rsidRPr="00DE0163" w:rsidRDefault="009547C5" w:rsidP="00DE0163">
            <w:pPr>
              <w:pStyle w:val="Bezmezer"/>
              <w:rPr>
                <w:sz w:val="22"/>
                <w:szCs w:val="22"/>
              </w:rPr>
            </w:pPr>
            <w:r w:rsidRPr="00DE0163">
              <w:rPr>
                <w:sz w:val="22"/>
                <w:szCs w:val="22"/>
              </w:rPr>
              <w:t>daň z hypotečních úvěrů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000000"/>
            </w:pPr>
            <w:r w:rsidRPr="00DE0163">
              <w:rPr>
                <w:b/>
              </w:rPr>
              <w:t>Region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000000"/>
            </w:pPr>
            <w:r w:rsidRPr="00DE0163">
              <w:rPr>
                <w:b/>
              </w:rPr>
              <w:t>Region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000000"/>
            </w:pPr>
            <w:r w:rsidRPr="00DE0163">
              <w:rPr>
                <w:b/>
              </w:rPr>
              <w:t>Region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000000"/>
            </w:pPr>
            <w:r w:rsidRPr="00DE0163">
              <w:rPr>
                <w:b/>
              </w:rPr>
              <w:t>100 % region</w:t>
            </w:r>
          </w:p>
        </w:tc>
      </w:tr>
      <w:tr w:rsidR="009547C5" w:rsidTr="00DE0163">
        <w:trPr>
          <w:cnfStyle w:val="000000100000"/>
        </w:trPr>
        <w:tc>
          <w:tcPr>
            <w:cnfStyle w:val="001000000000"/>
            <w:tcW w:w="18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47C5" w:rsidRPr="00DE0163" w:rsidRDefault="009547C5" w:rsidP="00DE0163">
            <w:pPr>
              <w:pStyle w:val="Bezmezer"/>
              <w:rPr>
                <w:sz w:val="22"/>
                <w:szCs w:val="22"/>
              </w:rPr>
            </w:pPr>
            <w:r w:rsidRPr="00DE0163">
              <w:rPr>
                <w:sz w:val="22"/>
                <w:szCs w:val="22"/>
              </w:rPr>
              <w:t>darovací daň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100000"/>
            </w:pPr>
            <w:r w:rsidRPr="00DE0163">
              <w:rPr>
                <w:b/>
              </w:rPr>
              <w:t>Region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100000"/>
            </w:pPr>
            <w:r w:rsidRPr="00DE0163">
              <w:rPr>
                <w:b/>
              </w:rPr>
              <w:t>Region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100000"/>
            </w:pPr>
            <w:r w:rsidRPr="00DE0163">
              <w:rPr>
                <w:b/>
              </w:rPr>
              <w:t>Region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100000"/>
            </w:pPr>
            <w:r w:rsidRPr="00DE0163">
              <w:rPr>
                <w:b/>
              </w:rPr>
              <w:t>100 % region</w:t>
            </w:r>
          </w:p>
        </w:tc>
      </w:tr>
      <w:tr w:rsidR="009547C5" w:rsidTr="00DE0163">
        <w:tc>
          <w:tcPr>
            <w:cnfStyle w:val="001000000000"/>
            <w:tcW w:w="18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47C5" w:rsidRPr="00DE0163" w:rsidRDefault="009547C5" w:rsidP="00DE0163">
            <w:pPr>
              <w:pStyle w:val="Bezmezer"/>
              <w:rPr>
                <w:sz w:val="22"/>
                <w:szCs w:val="22"/>
              </w:rPr>
            </w:pPr>
            <w:r w:rsidRPr="00DE0163">
              <w:rPr>
                <w:sz w:val="22"/>
                <w:szCs w:val="22"/>
              </w:rPr>
              <w:t>Daň z převodu nemovitosti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000000"/>
            </w:pPr>
            <w:r w:rsidRPr="00DE0163">
              <w:rPr>
                <w:b/>
              </w:rPr>
              <w:t>Region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000000"/>
            </w:pPr>
            <w:r w:rsidRPr="00DE0163">
              <w:rPr>
                <w:b/>
              </w:rPr>
              <w:t>Region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000000"/>
            </w:pPr>
            <w:r w:rsidRPr="00DE0163">
              <w:rPr>
                <w:b/>
              </w:rPr>
              <w:t>Region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000000"/>
            </w:pPr>
            <w:r w:rsidRPr="00DE0163">
              <w:rPr>
                <w:b/>
              </w:rPr>
              <w:t>100 % region</w:t>
            </w:r>
          </w:p>
        </w:tc>
      </w:tr>
      <w:tr w:rsidR="009547C5" w:rsidTr="00DE0163">
        <w:trPr>
          <w:cnfStyle w:val="000000100000"/>
        </w:trPr>
        <w:tc>
          <w:tcPr>
            <w:cnfStyle w:val="001000000000"/>
            <w:tcW w:w="18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47C5" w:rsidRPr="00DE0163" w:rsidRDefault="009547C5" w:rsidP="00DE0163">
            <w:pPr>
              <w:pStyle w:val="Bezmezer"/>
              <w:rPr>
                <w:sz w:val="22"/>
                <w:szCs w:val="22"/>
              </w:rPr>
            </w:pPr>
            <w:r w:rsidRPr="00DE0163">
              <w:rPr>
                <w:sz w:val="22"/>
                <w:szCs w:val="22"/>
              </w:rPr>
              <w:t>silniční daň pro osobní automobily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100000"/>
            </w:pPr>
            <w:r w:rsidRPr="00DE0163">
              <w:rPr>
                <w:b/>
              </w:rPr>
              <w:t>Region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100000"/>
            </w:pPr>
            <w:r w:rsidRPr="00DE0163">
              <w:rPr>
                <w:b/>
              </w:rPr>
              <w:t>Region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100000"/>
            </w:pPr>
            <w:r w:rsidRPr="00DE0163">
              <w:rPr>
                <w:b/>
              </w:rPr>
              <w:t>Region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100000"/>
            </w:pPr>
            <w:r w:rsidRPr="00DE0163">
              <w:rPr>
                <w:b/>
              </w:rPr>
              <w:t>100 % region</w:t>
            </w:r>
          </w:p>
        </w:tc>
      </w:tr>
      <w:tr w:rsidR="009547C5" w:rsidTr="00DE0163">
        <w:tc>
          <w:tcPr>
            <w:cnfStyle w:val="001000000000"/>
            <w:tcW w:w="18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47C5" w:rsidRPr="00DE0163" w:rsidRDefault="009547C5" w:rsidP="00DE0163">
            <w:pPr>
              <w:pStyle w:val="Bezmezer"/>
              <w:rPr>
                <w:sz w:val="22"/>
                <w:szCs w:val="22"/>
              </w:rPr>
            </w:pPr>
            <w:r w:rsidRPr="00DE0163">
              <w:rPr>
                <w:sz w:val="22"/>
                <w:szCs w:val="22"/>
              </w:rPr>
              <w:t>poplatky za registraci motorového vozidla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000000"/>
            </w:pPr>
            <w:r w:rsidRPr="00DE0163">
              <w:rPr>
                <w:b/>
              </w:rPr>
              <w:t>Region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000000"/>
            </w:pPr>
            <w:r w:rsidRPr="00DE0163">
              <w:rPr>
                <w:b/>
              </w:rPr>
              <w:t>Region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000000"/>
            </w:pPr>
            <w:r w:rsidRPr="00DE0163">
              <w:rPr>
                <w:b/>
              </w:rPr>
              <w:t>Region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000000"/>
            </w:pPr>
            <w:r w:rsidRPr="00DE0163">
              <w:rPr>
                <w:b/>
              </w:rPr>
              <w:t>100 % region</w:t>
            </w:r>
          </w:p>
        </w:tc>
      </w:tr>
      <w:tr w:rsidR="009547C5" w:rsidTr="00DE0163">
        <w:trPr>
          <w:cnfStyle w:val="000000100000"/>
        </w:trPr>
        <w:tc>
          <w:tcPr>
            <w:cnfStyle w:val="001000000000"/>
            <w:tcW w:w="18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47C5" w:rsidRPr="00DE0163" w:rsidRDefault="009547C5" w:rsidP="00DE0163">
            <w:pPr>
              <w:pStyle w:val="Bezmezer"/>
              <w:rPr>
                <w:sz w:val="22"/>
                <w:szCs w:val="22"/>
              </w:rPr>
            </w:pPr>
            <w:r w:rsidRPr="00DE0163">
              <w:rPr>
                <w:sz w:val="22"/>
                <w:szCs w:val="22"/>
              </w:rPr>
              <w:t xml:space="preserve">poplatky </w:t>
            </w:r>
            <w:proofErr w:type="spellStart"/>
            <w:r w:rsidRPr="00DE0163">
              <w:rPr>
                <w:sz w:val="22"/>
                <w:szCs w:val="22"/>
              </w:rPr>
              <w:t>E</w:t>
            </w:r>
            <w:r w:rsidRPr="00DE0163">
              <w:rPr>
                <w:i/>
                <w:sz w:val="22"/>
                <w:szCs w:val="22"/>
              </w:rPr>
              <w:t>urovignette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100000"/>
            </w:pPr>
            <w:r w:rsidRPr="00DE0163">
              <w:rPr>
                <w:b/>
              </w:rPr>
              <w:t>Region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100000"/>
            </w:pPr>
            <w:r w:rsidRPr="00DE0163">
              <w:rPr>
                <w:b/>
              </w:rPr>
              <w:t>Region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100000"/>
            </w:pPr>
            <w:r w:rsidRPr="00DE0163">
              <w:rPr>
                <w:b/>
              </w:rPr>
              <w:t>Region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100000"/>
            </w:pPr>
            <w:r w:rsidRPr="00DE0163">
              <w:rPr>
                <w:b/>
              </w:rPr>
              <w:t>100 % region</w:t>
            </w:r>
          </w:p>
        </w:tc>
      </w:tr>
      <w:tr w:rsidR="009547C5" w:rsidTr="00DE0163">
        <w:trPr>
          <w:trHeight w:val="70"/>
        </w:trPr>
        <w:tc>
          <w:tcPr>
            <w:cnfStyle w:val="001000000000"/>
            <w:tcW w:w="18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47C5" w:rsidRPr="00DE0163" w:rsidRDefault="009547C5" w:rsidP="00DE0163">
            <w:pPr>
              <w:pStyle w:val="Bezmezer"/>
              <w:rPr>
                <w:sz w:val="22"/>
                <w:szCs w:val="22"/>
              </w:rPr>
            </w:pPr>
            <w:r w:rsidRPr="00DE0163">
              <w:rPr>
                <w:sz w:val="22"/>
                <w:szCs w:val="22"/>
              </w:rPr>
              <w:t>poplatky za rozhlasový a televizní přijímač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000000"/>
            </w:pPr>
            <w:r w:rsidRPr="00DE0163">
              <w:rPr>
                <w:b/>
              </w:rPr>
              <w:t>Region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000000"/>
            </w:pPr>
            <w:r w:rsidRPr="00DE0163">
              <w:rPr>
                <w:b/>
              </w:rPr>
              <w:t>Region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000000"/>
            </w:pPr>
            <w:r w:rsidRPr="00DE0163">
              <w:rPr>
                <w:b/>
              </w:rPr>
              <w:t>Region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9547C5" w:rsidRPr="00DE0163" w:rsidRDefault="00DE0163" w:rsidP="00DE0163">
            <w:pPr>
              <w:pStyle w:val="Bezmezer"/>
              <w:jc w:val="center"/>
              <w:cnfStyle w:val="000000000000"/>
            </w:pPr>
            <w:r w:rsidRPr="00DE0163">
              <w:rPr>
                <w:b/>
              </w:rPr>
              <w:t>100 % region</w:t>
            </w:r>
          </w:p>
        </w:tc>
      </w:tr>
    </w:tbl>
    <w:p w:rsidR="009547C5" w:rsidRDefault="00DE0163" w:rsidP="00DE0163">
      <w:pPr>
        <w:pStyle w:val="Bezmezer"/>
        <w:jc w:val="center"/>
        <w:rPr>
          <w:i/>
        </w:rPr>
      </w:pPr>
      <w:r w:rsidRPr="00DE0163">
        <w:rPr>
          <w:i/>
        </w:rPr>
        <w:t xml:space="preserve">Zdroj: zpracováno autorem podle </w:t>
      </w:r>
      <w:proofErr w:type="spellStart"/>
      <w:r w:rsidRPr="00DE0163">
        <w:rPr>
          <w:i/>
        </w:rPr>
        <w:t>Stichele</w:t>
      </w:r>
      <w:proofErr w:type="spellEnd"/>
      <w:r w:rsidRPr="00DE0163">
        <w:rPr>
          <w:i/>
        </w:rPr>
        <w:t xml:space="preserve"> a </w:t>
      </w:r>
      <w:proofErr w:type="spellStart"/>
      <w:r w:rsidRPr="00DE0163">
        <w:rPr>
          <w:i/>
        </w:rPr>
        <w:t>Verdonck</w:t>
      </w:r>
      <w:proofErr w:type="spellEnd"/>
      <w:r w:rsidRPr="00DE0163">
        <w:rPr>
          <w:i/>
        </w:rPr>
        <w:t xml:space="preserve"> 2002</w:t>
      </w:r>
    </w:p>
    <w:p w:rsidR="00140B0F" w:rsidRDefault="00140B0F" w:rsidP="00140B0F">
      <w:pPr>
        <w:pStyle w:val="Bezmezer"/>
        <w:ind w:firstLine="227"/>
        <w:jc w:val="both"/>
      </w:pPr>
    </w:p>
    <w:p w:rsidR="00A970F4" w:rsidRDefault="00A970F4" w:rsidP="00140B0F">
      <w:pPr>
        <w:pStyle w:val="Bezmezer"/>
        <w:ind w:firstLine="227"/>
        <w:jc w:val="both"/>
      </w:pPr>
      <w:r>
        <w:t xml:space="preserve">Jak ukazuje </w:t>
      </w:r>
      <w:r w:rsidRPr="00140B0F">
        <w:t>tabulka</w:t>
      </w:r>
      <w:r w:rsidR="00140B0F">
        <w:t xml:space="preserve"> č.</w:t>
      </w:r>
      <w:r w:rsidR="00630722">
        <w:t xml:space="preserve"> </w:t>
      </w:r>
      <w:r w:rsidR="00140B0F">
        <w:t>3</w:t>
      </w:r>
      <w:r>
        <w:t xml:space="preserve">, </w:t>
      </w:r>
      <w:r w:rsidRPr="00A970F4">
        <w:t>da</w:t>
      </w:r>
      <w:r w:rsidR="00140B0F">
        <w:t xml:space="preserve">ně z nemovitosti a </w:t>
      </w:r>
      <w:r w:rsidRPr="00A970F4">
        <w:t xml:space="preserve">z dědictví </w:t>
      </w:r>
      <w:r w:rsidR="00430674">
        <w:t>připadly</w:t>
      </w:r>
      <w:r>
        <w:t xml:space="preserve"> zcela do kompetence regionů. </w:t>
      </w:r>
      <w:r w:rsidR="007D5F93">
        <w:t xml:space="preserve">Do kategorie zcela „regionalizovaných“ daní </w:t>
      </w:r>
      <w:r w:rsidR="00430674">
        <w:t xml:space="preserve">nově přibyly taktéž </w:t>
      </w:r>
      <w:r w:rsidR="007D5F93">
        <w:t>následující: daň z hypotečních úvěrů, darovací daň, daň z převodu nemovitosti, silniční daň</w:t>
      </w:r>
      <w:r w:rsidR="00430674">
        <w:t xml:space="preserve"> pro osobní automobily</w:t>
      </w:r>
      <w:r w:rsidR="007D5F93">
        <w:t xml:space="preserve">, </w:t>
      </w:r>
      <w:r w:rsidR="00430674">
        <w:t xml:space="preserve">poplatky za registraci motorového vozidla, poplatky plynoucí ze systému </w:t>
      </w:r>
      <w:proofErr w:type="spellStart"/>
      <w:r w:rsidR="00430674" w:rsidRPr="00430674">
        <w:rPr>
          <w:i/>
        </w:rPr>
        <w:t>Eurovignette</w:t>
      </w:r>
      <w:proofErr w:type="spellEnd"/>
      <w:r w:rsidR="00430674" w:rsidRPr="00430674">
        <w:rPr>
          <w:i/>
        </w:rPr>
        <w:t xml:space="preserve"> </w:t>
      </w:r>
      <w:r w:rsidR="00430674" w:rsidRPr="00430674">
        <w:t>(společná silniční daň pro vozidla těžší 12</w:t>
      </w:r>
      <w:r w:rsidR="00F50CDB">
        <w:t>-ti</w:t>
      </w:r>
      <w:r w:rsidR="00430674" w:rsidRPr="00430674">
        <w:t xml:space="preserve"> tun</w:t>
      </w:r>
      <w:r w:rsidR="00F50CDB">
        <w:t>,</w:t>
      </w:r>
      <w:r w:rsidR="00430674" w:rsidRPr="00430674">
        <w:t xml:space="preserve"> platící v zemích </w:t>
      </w:r>
      <w:r w:rsidR="00F50CDB">
        <w:t>Beneluxu, Švédsku a Dánsku)</w:t>
      </w:r>
      <w:r w:rsidR="00430674">
        <w:t xml:space="preserve"> a poplatky za rozhlasový a televizní přijímač.</w:t>
      </w:r>
    </w:p>
    <w:p w:rsidR="00BF04AE" w:rsidRDefault="00F50CDB" w:rsidP="00B243C4">
      <w:pPr>
        <w:pStyle w:val="Bezmezer"/>
        <w:ind w:firstLine="227"/>
        <w:jc w:val="both"/>
      </w:pPr>
      <w:r>
        <w:lastRenderedPageBreak/>
        <w:t>Účelem nové zákonné úpravy financování regionů však vedle rozšíření fiskální autonomie bylo i zachování vertikální rozpočtové neutrality. Federální úroveň tedy kompenzuje nižší daňové příjmy způsobené regionalizací daní nižšími transfery z tzv. sdílených daní do rozpoč</w:t>
      </w:r>
      <w:r w:rsidR="00D21A96">
        <w:t xml:space="preserve">tů regionů, jmenovitě pak daně </w:t>
      </w:r>
      <w:r>
        <w:t> přijmu fyzických osob</w:t>
      </w:r>
      <w:r w:rsidR="00B243C4">
        <w:t xml:space="preserve"> </w:t>
      </w:r>
      <w:r w:rsidR="00B243C4" w:rsidRPr="00B243C4">
        <w:rPr>
          <w:lang w:val="en-US"/>
        </w:rPr>
        <w:t>[</w:t>
      </w:r>
      <w:proofErr w:type="spellStart"/>
      <w:r w:rsidR="00B243C4" w:rsidRPr="00B243C4">
        <w:t>Stichele</w:t>
      </w:r>
      <w:proofErr w:type="spellEnd"/>
      <w:r w:rsidR="00B243C4" w:rsidRPr="00B243C4">
        <w:t xml:space="preserve"> a </w:t>
      </w:r>
      <w:proofErr w:type="spellStart"/>
      <w:r w:rsidR="00B243C4" w:rsidRPr="00B243C4">
        <w:t>Verdonck</w:t>
      </w:r>
      <w:proofErr w:type="spellEnd"/>
      <w:r w:rsidR="00B243C4" w:rsidRPr="00B243C4">
        <w:t xml:space="preserve"> 2002: </w:t>
      </w:r>
      <w:r w:rsidR="00B243C4">
        <w:t>33</w:t>
      </w:r>
      <w:r w:rsidR="00B243C4" w:rsidRPr="00B243C4">
        <w:rPr>
          <w:lang w:val="en-US"/>
        </w:rPr>
        <w:t>].</w:t>
      </w:r>
    </w:p>
    <w:p w:rsidR="00F50CDB" w:rsidRDefault="00BF04AE" w:rsidP="00943269">
      <w:pPr>
        <w:pStyle w:val="Bezmezer"/>
        <w:ind w:firstLine="227"/>
        <w:jc w:val="both"/>
      </w:pPr>
      <w:r>
        <w:t xml:space="preserve">Dopady reformy ilustruje </w:t>
      </w:r>
      <w:r w:rsidR="00D21A96">
        <w:t xml:space="preserve">tabulka č. </w:t>
      </w:r>
      <w:r w:rsidR="00140B0F">
        <w:t>4.</w:t>
      </w:r>
      <w:r w:rsidR="00D21A96">
        <w:t xml:space="preserve"> Regiony se díky rozšíření „regionalizovaných“ daní staly výrazně méně závislými na transferech z federální úrovně. Avšak podíl vládních transferů zůstává stále velmi vysoký (v roce 2007 asi 70 %).  </w:t>
      </w:r>
      <w:r w:rsidR="0002537A">
        <w:t xml:space="preserve">Je přitom pravděpodobné, že k další změnám v budoucnosti dojde. Vlámský region patří mezi nejhlasitější zastánce pokračovaní fiskální decentralizace. Z té by patrně </w:t>
      </w:r>
      <w:proofErr w:type="spellStart"/>
      <w:r w:rsidR="0002537A">
        <w:t>benefitoval</w:t>
      </w:r>
      <w:proofErr w:type="spellEnd"/>
      <w:r w:rsidR="0002537A">
        <w:t xml:space="preserve"> nejvíce, vzhledem k tomu, že je to v současnosti nejbohatší z belgických regionů</w:t>
      </w:r>
      <w:r w:rsidR="00630722">
        <w:t>, čemuž by přirozeně odpovídali i daňové výnosy</w:t>
      </w:r>
      <w:r w:rsidR="0002537A">
        <w:t xml:space="preserve"> </w:t>
      </w:r>
      <w:r w:rsidR="0002537A" w:rsidRPr="0002537A">
        <w:rPr>
          <w:lang w:val="en-US"/>
        </w:rPr>
        <w:t>[</w:t>
      </w:r>
      <w:proofErr w:type="spellStart"/>
      <w:r w:rsidR="0002537A" w:rsidRPr="0002537A">
        <w:t>Swenden</w:t>
      </w:r>
      <w:proofErr w:type="spellEnd"/>
      <w:r w:rsidR="0002537A" w:rsidRPr="0002537A">
        <w:t xml:space="preserve"> a </w:t>
      </w:r>
      <w:proofErr w:type="spellStart"/>
      <w:r w:rsidR="0002537A" w:rsidRPr="0002537A">
        <w:t>Jans</w:t>
      </w:r>
      <w:proofErr w:type="spellEnd"/>
      <w:r w:rsidR="0002537A" w:rsidRPr="0002537A">
        <w:t xml:space="preserve"> 2006: 877-878</w:t>
      </w:r>
      <w:r w:rsidR="0002537A" w:rsidRPr="0002537A">
        <w:rPr>
          <w:lang w:val="en-US"/>
        </w:rPr>
        <w:t>]</w:t>
      </w:r>
      <w:r w:rsidR="0002537A" w:rsidRPr="0002537A">
        <w:t>.</w:t>
      </w:r>
    </w:p>
    <w:p w:rsidR="00BF04AE" w:rsidRDefault="00BF04AE" w:rsidP="00DE0163">
      <w:pPr>
        <w:pStyle w:val="Bezmezer"/>
      </w:pPr>
    </w:p>
    <w:p w:rsidR="00BF04AE" w:rsidRDefault="00BF04AE" w:rsidP="00DE0163">
      <w:pPr>
        <w:pStyle w:val="Bezmezer"/>
      </w:pPr>
    </w:p>
    <w:p w:rsidR="00D21A96" w:rsidRPr="005B5B98" w:rsidRDefault="00D21A96" w:rsidP="00DE0163">
      <w:pPr>
        <w:pStyle w:val="Titulek"/>
        <w:keepNext/>
        <w:rPr>
          <w:color w:val="auto"/>
          <w:sz w:val="24"/>
          <w:szCs w:val="24"/>
        </w:rPr>
      </w:pPr>
      <w:r w:rsidRPr="005B5B98">
        <w:rPr>
          <w:color w:val="auto"/>
          <w:sz w:val="24"/>
          <w:szCs w:val="24"/>
        </w:rPr>
        <w:t xml:space="preserve">Tabulka </w:t>
      </w:r>
      <w:r w:rsidR="0055602B" w:rsidRPr="005B5B98">
        <w:rPr>
          <w:color w:val="auto"/>
          <w:sz w:val="24"/>
          <w:szCs w:val="24"/>
        </w:rPr>
        <w:fldChar w:fldCharType="begin"/>
      </w:r>
      <w:r w:rsidRPr="005B5B98">
        <w:rPr>
          <w:color w:val="auto"/>
          <w:sz w:val="24"/>
          <w:szCs w:val="24"/>
        </w:rPr>
        <w:instrText xml:space="preserve"> SEQ Tabulka \* ARABIC </w:instrText>
      </w:r>
      <w:r w:rsidR="0055602B" w:rsidRPr="005B5B98">
        <w:rPr>
          <w:color w:val="auto"/>
          <w:sz w:val="24"/>
          <w:szCs w:val="24"/>
        </w:rPr>
        <w:fldChar w:fldCharType="separate"/>
      </w:r>
      <w:r w:rsidR="00943269">
        <w:rPr>
          <w:noProof/>
          <w:color w:val="auto"/>
          <w:sz w:val="24"/>
          <w:szCs w:val="24"/>
        </w:rPr>
        <w:t>4</w:t>
      </w:r>
      <w:r w:rsidR="0055602B" w:rsidRPr="005B5B98">
        <w:rPr>
          <w:color w:val="auto"/>
          <w:sz w:val="24"/>
          <w:szCs w:val="24"/>
        </w:rPr>
        <w:fldChar w:fldCharType="end"/>
      </w:r>
      <w:r w:rsidRPr="005B5B98">
        <w:rPr>
          <w:color w:val="auto"/>
          <w:sz w:val="24"/>
          <w:szCs w:val="24"/>
        </w:rPr>
        <w:t xml:space="preserve"> Zdroje příjmů regionů a společenství</w:t>
      </w:r>
    </w:p>
    <w:tbl>
      <w:tblPr>
        <w:tblStyle w:val="Stednstnovn2zvraznn2"/>
        <w:tblW w:w="0" w:type="auto"/>
        <w:tblLook w:val="04A0"/>
      </w:tblPr>
      <w:tblGrid>
        <w:gridCol w:w="1803"/>
        <w:gridCol w:w="898"/>
        <w:gridCol w:w="1182"/>
        <w:gridCol w:w="900"/>
        <w:gridCol w:w="901"/>
        <w:gridCol w:w="901"/>
        <w:gridCol w:w="901"/>
        <w:gridCol w:w="901"/>
        <w:gridCol w:w="901"/>
      </w:tblGrid>
      <w:tr w:rsidR="00BF04AE" w:rsidRPr="00D21A96" w:rsidTr="00943269">
        <w:trPr>
          <w:cnfStyle w:val="100000000000"/>
        </w:trPr>
        <w:tc>
          <w:tcPr>
            <w:cnfStyle w:val="001000000100"/>
            <w:tcW w:w="5684" w:type="dxa"/>
            <w:gridSpan w:val="5"/>
            <w:tcBorders>
              <w:right w:val="single" w:sz="18" w:space="0" w:color="auto"/>
            </w:tcBorders>
            <w:vAlign w:val="center"/>
          </w:tcPr>
          <w:p w:rsidR="00BF04AE" w:rsidRPr="005B5B98" w:rsidRDefault="00B243C4" w:rsidP="00B243C4">
            <w:pPr>
              <w:pStyle w:val="Bezmezer"/>
              <w:jc w:val="center"/>
            </w:pPr>
            <w:r>
              <w:t xml:space="preserve">                           </w:t>
            </w:r>
            <w:r w:rsidR="00BF04AE" w:rsidRPr="005B5B98">
              <w:t>Procenta z celkových příjmů</w:t>
            </w:r>
          </w:p>
        </w:tc>
        <w:tc>
          <w:tcPr>
            <w:tcW w:w="3604" w:type="dxa"/>
            <w:gridSpan w:val="4"/>
            <w:tcBorders>
              <w:left w:val="single" w:sz="18" w:space="0" w:color="auto"/>
            </w:tcBorders>
            <w:vAlign w:val="center"/>
          </w:tcPr>
          <w:p w:rsidR="00BF04AE" w:rsidRPr="005B5B98" w:rsidRDefault="00D21A96" w:rsidP="00B243C4">
            <w:pPr>
              <w:pStyle w:val="Bezmezer"/>
              <w:jc w:val="center"/>
              <w:cnfStyle w:val="100000000000"/>
            </w:pPr>
            <w:r w:rsidRPr="005B5B98">
              <w:t>V procentech HDP</w:t>
            </w:r>
          </w:p>
        </w:tc>
      </w:tr>
      <w:tr w:rsidR="005B5B98" w:rsidRPr="00D21A96" w:rsidTr="00943269">
        <w:trPr>
          <w:cnfStyle w:val="000000100000"/>
        </w:trPr>
        <w:tc>
          <w:tcPr>
            <w:cnfStyle w:val="001000000000"/>
            <w:tcW w:w="1803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</w:pPr>
            <w:r w:rsidRPr="005B5B98">
              <w:t>Rok</w:t>
            </w:r>
          </w:p>
        </w:tc>
        <w:tc>
          <w:tcPr>
            <w:tcW w:w="89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100000"/>
            </w:pPr>
            <w:r w:rsidRPr="005B5B98">
              <w:t>1990</w:t>
            </w:r>
          </w:p>
        </w:tc>
        <w:tc>
          <w:tcPr>
            <w:tcW w:w="118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100000"/>
            </w:pPr>
            <w:r w:rsidRPr="005B5B98">
              <w:t>1995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100000"/>
            </w:pPr>
            <w:r w:rsidRPr="005B5B98">
              <w:t>2000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100000"/>
            </w:pPr>
            <w:r w:rsidRPr="005B5B98">
              <w:t>2007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100000"/>
            </w:pPr>
            <w:r w:rsidRPr="005B5B98">
              <w:t>1990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100000"/>
            </w:pPr>
            <w:r w:rsidRPr="005B5B98">
              <w:t>1995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100000"/>
            </w:pPr>
            <w:r w:rsidRPr="005B5B98">
              <w:t>2000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100000"/>
            </w:pPr>
            <w:r w:rsidRPr="005B5B98">
              <w:t>2007</w:t>
            </w:r>
          </w:p>
        </w:tc>
      </w:tr>
      <w:tr w:rsidR="00BF04AE" w:rsidRPr="00D21A96" w:rsidTr="00943269">
        <w:tc>
          <w:tcPr>
            <w:cnfStyle w:val="001000000000"/>
            <w:tcW w:w="18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</w:pPr>
            <w:r w:rsidRPr="005B5B98">
              <w:t>Příjmy celkem</w:t>
            </w:r>
          </w:p>
        </w:tc>
        <w:tc>
          <w:tcPr>
            <w:tcW w:w="8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000000"/>
            </w:pPr>
            <w:r w:rsidRPr="005B5B98">
              <w:t>100</w:t>
            </w:r>
          </w:p>
        </w:tc>
        <w:tc>
          <w:tcPr>
            <w:tcW w:w="11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000000"/>
            </w:pPr>
            <w:r w:rsidRPr="005B5B98">
              <w:t>100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000000"/>
            </w:pPr>
            <w:r w:rsidRPr="005B5B98">
              <w:t>100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000000"/>
            </w:pPr>
            <w:r w:rsidRPr="005B5B98">
              <w:t>100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000000"/>
            </w:pPr>
            <w:r w:rsidRPr="005B5B98">
              <w:t>11,1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000000"/>
            </w:pPr>
            <w:r w:rsidRPr="005B5B98">
              <w:t>12,6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000000"/>
            </w:pPr>
            <w:r w:rsidRPr="005B5B98">
              <w:t>13,2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000000"/>
            </w:pPr>
            <w:r w:rsidRPr="005B5B98">
              <w:t>14,3</w:t>
            </w:r>
          </w:p>
        </w:tc>
      </w:tr>
      <w:tr w:rsidR="005B5B98" w:rsidRPr="00D21A96" w:rsidTr="00943269">
        <w:trPr>
          <w:cnfStyle w:val="000000100000"/>
        </w:trPr>
        <w:tc>
          <w:tcPr>
            <w:cnfStyle w:val="001000000000"/>
            <w:tcW w:w="18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rPr>
                <w:b w:val="0"/>
                <w:i/>
              </w:rPr>
            </w:pPr>
            <w:r w:rsidRPr="005B5B98">
              <w:rPr>
                <w:i/>
              </w:rPr>
              <w:t>z toho:</w:t>
            </w:r>
            <w:r w:rsidRPr="005B5B98">
              <w:rPr>
                <w:b w:val="0"/>
                <w:i/>
              </w:rPr>
              <w:t xml:space="preserve"> vlastní daňové příjmy</w:t>
            </w:r>
          </w:p>
        </w:tc>
        <w:tc>
          <w:tcPr>
            <w:tcW w:w="8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100000"/>
            </w:pPr>
            <w:r w:rsidRPr="005B5B98">
              <w:t>6,7</w:t>
            </w:r>
          </w:p>
        </w:tc>
        <w:tc>
          <w:tcPr>
            <w:tcW w:w="11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943269" w:rsidRDefault="00BF04AE" w:rsidP="00DE0163">
            <w:pPr>
              <w:pStyle w:val="Bezmezer"/>
              <w:cnfStyle w:val="000000100000"/>
              <w:rPr>
                <w:i/>
              </w:rPr>
            </w:pPr>
            <w:r w:rsidRPr="00943269">
              <w:rPr>
                <w:i/>
              </w:rPr>
              <w:t>7,6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100000"/>
            </w:pPr>
            <w:r w:rsidRPr="005B5B98">
              <w:t>8,8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943269" w:rsidRDefault="00BF04AE" w:rsidP="00DE0163">
            <w:pPr>
              <w:pStyle w:val="Bezmezer"/>
              <w:cnfStyle w:val="000000100000"/>
              <w:rPr>
                <w:i/>
              </w:rPr>
            </w:pPr>
            <w:r w:rsidRPr="00943269">
              <w:rPr>
                <w:i/>
              </w:rPr>
              <w:t>16,6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100000"/>
            </w:pPr>
            <w:r w:rsidRPr="005B5B98">
              <w:t>0,7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100000"/>
            </w:pPr>
            <w:r w:rsidRPr="005B5B98">
              <w:t>1,0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100000"/>
            </w:pPr>
            <w:r w:rsidRPr="005B5B98">
              <w:t>1,2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100000"/>
            </w:pPr>
            <w:r w:rsidRPr="005B5B98">
              <w:t>2,4</w:t>
            </w:r>
          </w:p>
        </w:tc>
      </w:tr>
      <w:tr w:rsidR="00BF04AE" w:rsidRPr="00D21A96" w:rsidTr="00943269">
        <w:tc>
          <w:tcPr>
            <w:cnfStyle w:val="001000000000"/>
            <w:tcW w:w="18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rPr>
                <w:b w:val="0"/>
                <w:i/>
              </w:rPr>
            </w:pPr>
            <w:r w:rsidRPr="005B5B98">
              <w:rPr>
                <w:b w:val="0"/>
                <w:i/>
              </w:rPr>
              <w:t>transfery daní</w:t>
            </w:r>
          </w:p>
        </w:tc>
        <w:tc>
          <w:tcPr>
            <w:tcW w:w="8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000000"/>
            </w:pPr>
            <w:r w:rsidRPr="005B5B98">
              <w:t>74,7</w:t>
            </w:r>
          </w:p>
        </w:tc>
        <w:tc>
          <w:tcPr>
            <w:tcW w:w="11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943269" w:rsidRDefault="00BF04AE" w:rsidP="00DE0163">
            <w:pPr>
              <w:pStyle w:val="Bezmezer"/>
              <w:cnfStyle w:val="000000000000"/>
              <w:rPr>
                <w:b/>
              </w:rPr>
            </w:pPr>
            <w:r w:rsidRPr="00943269">
              <w:rPr>
                <w:b/>
              </w:rPr>
              <w:t>71,6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000000"/>
            </w:pPr>
            <w:r w:rsidRPr="005B5B98">
              <w:t>69,2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943269" w:rsidRDefault="00BF04AE" w:rsidP="00DE0163">
            <w:pPr>
              <w:pStyle w:val="Bezmezer"/>
              <w:cnfStyle w:val="000000000000"/>
              <w:rPr>
                <w:b/>
              </w:rPr>
            </w:pPr>
            <w:r w:rsidRPr="00943269">
              <w:rPr>
                <w:b/>
              </w:rPr>
              <w:t>59,3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000000"/>
            </w:pPr>
            <w:r w:rsidRPr="005B5B98">
              <w:t>8,3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000000"/>
            </w:pPr>
            <w:r w:rsidRPr="005B5B98">
              <w:t>9,0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000000"/>
            </w:pPr>
            <w:r w:rsidRPr="005B5B98">
              <w:t>9,1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000000"/>
            </w:pPr>
            <w:r w:rsidRPr="005B5B98">
              <w:t>8,5</w:t>
            </w:r>
          </w:p>
        </w:tc>
      </w:tr>
      <w:tr w:rsidR="005B5B98" w:rsidRPr="00D21A96" w:rsidTr="00943269">
        <w:trPr>
          <w:cnfStyle w:val="000000100000"/>
        </w:trPr>
        <w:tc>
          <w:tcPr>
            <w:cnfStyle w:val="001000000000"/>
            <w:tcW w:w="18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rPr>
                <w:b w:val="0"/>
                <w:i/>
              </w:rPr>
            </w:pPr>
            <w:r w:rsidRPr="005B5B98">
              <w:rPr>
                <w:b w:val="0"/>
                <w:i/>
              </w:rPr>
              <w:t>příjmy z jiných vládních transferů</w:t>
            </w:r>
            <w:r w:rsidR="005B5B98" w:rsidRPr="005B5B98">
              <w:rPr>
                <w:b w:val="0"/>
                <w:i/>
              </w:rPr>
              <w:t>/grantů</w:t>
            </w:r>
          </w:p>
        </w:tc>
        <w:tc>
          <w:tcPr>
            <w:tcW w:w="8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100000"/>
            </w:pPr>
            <w:r w:rsidRPr="005B5B98">
              <w:t>9,1</w:t>
            </w:r>
          </w:p>
        </w:tc>
        <w:tc>
          <w:tcPr>
            <w:tcW w:w="11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100000"/>
            </w:pPr>
            <w:r w:rsidRPr="005B5B98">
              <w:t>8,5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100000"/>
            </w:pPr>
            <w:r w:rsidRPr="005B5B98">
              <w:t>8,7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100000"/>
            </w:pPr>
            <w:r w:rsidRPr="005B5B98">
              <w:t>9,5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100000"/>
            </w:pPr>
            <w:r w:rsidRPr="005B5B98">
              <w:t>1,0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100000"/>
            </w:pPr>
            <w:r w:rsidRPr="005B5B98">
              <w:t>1,1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100000"/>
            </w:pPr>
            <w:r w:rsidRPr="005B5B98">
              <w:t>1,1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100000"/>
            </w:pPr>
            <w:r w:rsidRPr="005B5B98">
              <w:t>1,4</w:t>
            </w:r>
          </w:p>
        </w:tc>
      </w:tr>
      <w:tr w:rsidR="00BF04AE" w:rsidRPr="00D21A96" w:rsidTr="00943269">
        <w:tc>
          <w:tcPr>
            <w:cnfStyle w:val="001000000000"/>
            <w:tcW w:w="18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04AE" w:rsidRPr="005B5B98" w:rsidRDefault="00D21A96" w:rsidP="00DE0163">
            <w:pPr>
              <w:pStyle w:val="Bezmezer"/>
              <w:rPr>
                <w:b w:val="0"/>
                <w:i/>
              </w:rPr>
            </w:pPr>
            <w:r w:rsidRPr="005B5B98">
              <w:rPr>
                <w:b w:val="0"/>
                <w:i/>
              </w:rPr>
              <w:t>j</w:t>
            </w:r>
            <w:r w:rsidR="00BF04AE" w:rsidRPr="005B5B98">
              <w:rPr>
                <w:b w:val="0"/>
                <w:i/>
              </w:rPr>
              <w:t>iné příjmy</w:t>
            </w:r>
          </w:p>
        </w:tc>
        <w:tc>
          <w:tcPr>
            <w:tcW w:w="89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000000"/>
            </w:pPr>
            <w:r w:rsidRPr="005B5B98">
              <w:t>9,5</w:t>
            </w:r>
          </w:p>
        </w:tc>
        <w:tc>
          <w:tcPr>
            <w:tcW w:w="118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000000"/>
            </w:pPr>
            <w:r w:rsidRPr="005B5B98">
              <w:t>12,3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000000"/>
            </w:pPr>
            <w:r w:rsidRPr="005B5B98">
              <w:t>13,3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000000"/>
            </w:pPr>
            <w:r w:rsidRPr="005B5B98">
              <w:t>14,7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000000"/>
            </w:pPr>
            <w:r w:rsidRPr="005B5B98">
              <w:t>1,1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000000"/>
            </w:pPr>
            <w:r w:rsidRPr="005B5B98">
              <w:t>1,5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000000"/>
            </w:pPr>
            <w:r w:rsidRPr="005B5B98">
              <w:t>1,8</w:t>
            </w:r>
          </w:p>
        </w:tc>
        <w:tc>
          <w:tcPr>
            <w:tcW w:w="9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4AE" w:rsidRPr="005B5B98" w:rsidRDefault="00BF04AE" w:rsidP="00DE0163">
            <w:pPr>
              <w:pStyle w:val="Bezmezer"/>
              <w:cnfStyle w:val="000000000000"/>
            </w:pPr>
            <w:r w:rsidRPr="005B5B98">
              <w:t>2,1</w:t>
            </w:r>
          </w:p>
        </w:tc>
      </w:tr>
    </w:tbl>
    <w:p w:rsidR="00943269" w:rsidRPr="00943269" w:rsidRDefault="00943269" w:rsidP="00943269">
      <w:pPr>
        <w:spacing w:line="360" w:lineRule="auto"/>
        <w:jc w:val="center"/>
        <w:rPr>
          <w:i/>
        </w:rPr>
      </w:pPr>
      <w:r w:rsidRPr="00943269">
        <w:rPr>
          <w:i/>
        </w:rPr>
        <w:t xml:space="preserve">Zdroj: </w:t>
      </w:r>
      <w:proofErr w:type="spellStart"/>
      <w:r w:rsidRPr="00943269">
        <w:rPr>
          <w:i/>
        </w:rPr>
        <w:t>Leibfritz</w:t>
      </w:r>
      <w:proofErr w:type="spellEnd"/>
      <w:r w:rsidRPr="00943269">
        <w:rPr>
          <w:i/>
        </w:rPr>
        <w:t xml:space="preserve"> 2009:</w:t>
      </w:r>
      <w:r>
        <w:rPr>
          <w:i/>
        </w:rPr>
        <w:t xml:space="preserve"> 11</w:t>
      </w:r>
    </w:p>
    <w:p w:rsidR="00F51788" w:rsidRDefault="00F51788" w:rsidP="00DE0163">
      <w:pPr>
        <w:spacing w:line="360" w:lineRule="auto"/>
      </w:pPr>
    </w:p>
    <w:p w:rsidR="00B243C4" w:rsidRPr="0002537A" w:rsidRDefault="00B243C4" w:rsidP="00DE0163">
      <w:pPr>
        <w:spacing w:line="360" w:lineRule="auto"/>
        <w:rPr>
          <w:b/>
        </w:rPr>
      </w:pPr>
      <w:r w:rsidRPr="0002537A">
        <w:rPr>
          <w:b/>
        </w:rPr>
        <w:t>Závěr</w:t>
      </w:r>
    </w:p>
    <w:p w:rsidR="00B243C4" w:rsidRDefault="0002537A" w:rsidP="00C05BD0">
      <w:pPr>
        <w:pStyle w:val="Bezmezer"/>
        <w:ind w:firstLine="227"/>
        <w:jc w:val="both"/>
      </w:pPr>
      <w:r>
        <w:t>Je zřejmé, že federalizace země, ke které došlo v roce 1993, nebyla procesem souměrným. Jak ukazuje tato seminární práce, přesun kompetencí z centra na jazyková společenství</w:t>
      </w:r>
      <w:r w:rsidR="00630722">
        <w:t xml:space="preserve"> a regiony významně předs</w:t>
      </w:r>
      <w:r>
        <w:t xml:space="preserve">tihl decentralizaci fiskální. Společenství jsou od svého vzniku zcela závislá na příjmech z jiných rozpočtů. Což je do značné míry dáno i jejich „neteritoriálním“ charakterem, který by výběr daní podstatně komplikoval </w:t>
      </w:r>
      <w:r w:rsidRPr="0002537A">
        <w:rPr>
          <w:lang w:val="en-US"/>
        </w:rPr>
        <w:t>[</w:t>
      </w:r>
      <w:proofErr w:type="spellStart"/>
      <w:r w:rsidRPr="0002537A">
        <w:t>Swenden</w:t>
      </w:r>
      <w:proofErr w:type="spellEnd"/>
      <w:r w:rsidRPr="0002537A">
        <w:t xml:space="preserve"> a </w:t>
      </w:r>
      <w:proofErr w:type="spellStart"/>
      <w:r w:rsidRPr="0002537A">
        <w:t>Jans</w:t>
      </w:r>
      <w:proofErr w:type="spellEnd"/>
      <w:r w:rsidRPr="0002537A">
        <w:t xml:space="preserve"> 2006: </w:t>
      </w:r>
      <w:r w:rsidR="00C05BD0">
        <w:t>885</w:t>
      </w:r>
      <w:r w:rsidRPr="0002537A">
        <w:rPr>
          <w:lang w:val="en-US"/>
        </w:rPr>
        <w:t>]</w:t>
      </w:r>
      <w:r w:rsidRPr="0002537A">
        <w:t>.</w:t>
      </w:r>
      <w:r w:rsidR="00C05BD0">
        <w:t xml:space="preserve"> </w:t>
      </w:r>
    </w:p>
    <w:p w:rsidR="00F70D77" w:rsidRPr="000E1810" w:rsidRDefault="00C05BD0" w:rsidP="00976D6E">
      <w:pPr>
        <w:pStyle w:val="Bezmezer"/>
        <w:ind w:firstLine="227"/>
        <w:jc w:val="both"/>
      </w:pPr>
      <w:r>
        <w:t xml:space="preserve">Regiony – na rozdíl od společenství – od roku 1988/1989 nabyly oprávnění vypisovat a vybírat daně. Přestože se od této doby důsledkem „regionalizace“ daní jejich fiskální autonomie podstatně rozšířila, zůstávají i dnes zhruba ze 70 % závislými na transferech z centrální úrovně. Belgie se v tomto ohledu významně odlišuje od některých tradičních evropských federací – např. Německa či Švýcarska, kde fiskální decentralizace významně pokročila. Belgie tedy z pohledu centralizace daňového systému i po reformách zůstává spíše podobnou některým unitárním evropským státům (např. Slovensku). Tato skutečnost se potkává s odporem Vlámského regionu, jehož politikové by přivítali větší nezávislost na centrální vládě. Vlámové argumentují, že širší fiskální autonomie by pomohla napřímit vztah mezi plátcem daně a </w:t>
      </w:r>
      <w:r w:rsidR="00976D6E">
        <w:t xml:space="preserve">jejím výběrčím, a tedy i zvýšit celkovou úroveň zodpovědnosti na obou stranách </w:t>
      </w:r>
      <w:r w:rsidR="0002537A" w:rsidRPr="00976D6E">
        <w:rPr>
          <w:lang w:val="en-US"/>
        </w:rPr>
        <w:t>[</w:t>
      </w:r>
      <w:proofErr w:type="spellStart"/>
      <w:r w:rsidR="0002537A" w:rsidRPr="00976D6E">
        <w:t>Swenden</w:t>
      </w:r>
      <w:proofErr w:type="spellEnd"/>
      <w:r w:rsidR="0002537A" w:rsidRPr="00976D6E">
        <w:t xml:space="preserve"> a </w:t>
      </w:r>
      <w:proofErr w:type="spellStart"/>
      <w:r w:rsidR="0002537A" w:rsidRPr="00976D6E">
        <w:t>Jans</w:t>
      </w:r>
      <w:proofErr w:type="spellEnd"/>
      <w:r w:rsidR="0002537A" w:rsidRPr="00976D6E">
        <w:t xml:space="preserve"> 2006: </w:t>
      </w:r>
      <w:r w:rsidRPr="00976D6E">
        <w:t>885</w:t>
      </w:r>
      <w:r w:rsidR="0002537A" w:rsidRPr="00976D6E">
        <w:rPr>
          <w:lang w:val="en-US"/>
        </w:rPr>
        <w:t>]</w:t>
      </w:r>
      <w:r w:rsidR="0002537A" w:rsidRPr="00976D6E">
        <w:t>.</w:t>
      </w:r>
      <w:r w:rsidR="00976D6E">
        <w:t xml:space="preserve"> Takový postoj však koliduje se zájmy Valonska, regionu, který socioekonomicky za Flandry zaostává. Širší fiskální autonomie by patrně znamenala nižší příjmy. Na tomto místě je patrně vhodné připomenout i patrně nejvýznamnější kompetenční spor. Vlámská politická reprezentace by vedle širší fiskální autonomie ráda viděla i decentralizaci systému sociálního zabezpečení (</w:t>
      </w:r>
      <w:proofErr w:type="spellStart"/>
      <w:r w:rsidR="00976D6E" w:rsidRPr="00976D6E">
        <w:rPr>
          <w:i/>
        </w:rPr>
        <w:t>social</w:t>
      </w:r>
      <w:proofErr w:type="spellEnd"/>
      <w:r w:rsidR="00976D6E" w:rsidRPr="00976D6E">
        <w:rPr>
          <w:i/>
        </w:rPr>
        <w:t xml:space="preserve"> </w:t>
      </w:r>
      <w:proofErr w:type="spellStart"/>
      <w:r w:rsidR="00976D6E" w:rsidRPr="00976D6E">
        <w:rPr>
          <w:i/>
        </w:rPr>
        <w:t>security</w:t>
      </w:r>
      <w:proofErr w:type="spellEnd"/>
      <w:r w:rsidR="00976D6E" w:rsidRPr="00976D6E">
        <w:rPr>
          <w:i/>
        </w:rPr>
        <w:t xml:space="preserve"> </w:t>
      </w:r>
      <w:proofErr w:type="spellStart"/>
      <w:r w:rsidR="00976D6E">
        <w:rPr>
          <w:i/>
        </w:rPr>
        <w:lastRenderedPageBreak/>
        <w:t>syste</w:t>
      </w:r>
      <w:r w:rsidR="00976D6E" w:rsidRPr="00976D6E">
        <w:rPr>
          <w:i/>
        </w:rPr>
        <w:t>m</w:t>
      </w:r>
      <w:proofErr w:type="spellEnd"/>
      <w:r w:rsidR="00976D6E">
        <w:t>), který dnes zůstává v kompetenci federální vlády. I zde jsou Valonský a Vlámský region ve spíše konfliktní pozici. Valonsko, region s větší nezaměstnaností</w:t>
      </w:r>
      <w:r w:rsidR="00F70D77">
        <w:t xml:space="preserve"> a s dlouhodobými sociálními problémy</w:t>
      </w:r>
      <w:r w:rsidR="00976D6E">
        <w:t>, by patrně na</w:t>
      </w:r>
      <w:r w:rsidR="000E1810">
        <w:t xml:space="preserve"> decentralizaci systému tratilo.</w:t>
      </w:r>
      <w:r w:rsidR="00976D6E">
        <w:t xml:space="preserve"> </w:t>
      </w:r>
      <w:r w:rsidR="00F70D77">
        <w:t>„Regionalizace“</w:t>
      </w:r>
      <w:r w:rsidR="00976D6E">
        <w:t xml:space="preserve"> by pravděpodobně znamenala</w:t>
      </w:r>
      <w:r w:rsidR="00F70D77">
        <w:t xml:space="preserve"> snížení meziregionální solidarity a přispěla k rozšíření socioekonomické „propasti“ mezi oběma regiony</w:t>
      </w:r>
      <w:r w:rsidR="000E1810">
        <w:t xml:space="preserve"> </w:t>
      </w:r>
      <w:r w:rsidR="000E1810" w:rsidRPr="000E1810">
        <w:rPr>
          <w:lang w:val="en-US"/>
        </w:rPr>
        <w:t>[</w:t>
      </w:r>
      <w:proofErr w:type="spellStart"/>
      <w:r w:rsidR="00155858" w:rsidRPr="00155858">
        <w:rPr>
          <w:lang w:val="en-GB"/>
        </w:rPr>
        <w:t>Liebfritz</w:t>
      </w:r>
      <w:proofErr w:type="spellEnd"/>
      <w:r w:rsidR="000E1810" w:rsidRPr="000E1810">
        <w:t xml:space="preserve"> 200</w:t>
      </w:r>
      <w:r w:rsidR="00155858">
        <w:t>9</w:t>
      </w:r>
      <w:r w:rsidR="000E1810" w:rsidRPr="000E1810">
        <w:t xml:space="preserve">: </w:t>
      </w:r>
      <w:r w:rsidR="000E1810">
        <w:t>25-27</w:t>
      </w:r>
      <w:r w:rsidR="000E1810" w:rsidRPr="000E1810">
        <w:rPr>
          <w:lang w:val="en-US"/>
        </w:rPr>
        <w:t>]</w:t>
      </w:r>
      <w:r w:rsidR="000E1810" w:rsidRPr="000E1810">
        <w:t>.</w:t>
      </w:r>
    </w:p>
    <w:p w:rsidR="005411C3" w:rsidRDefault="00F70D77" w:rsidP="00F70D77">
      <w:pPr>
        <w:pStyle w:val="Bezmezer"/>
        <w:ind w:firstLine="227"/>
        <w:jc w:val="both"/>
      </w:pPr>
      <w:r>
        <w:t>Jisté zůstává, že decentralizace v Belgii není ani zdaleka proces ukončený (je-li vů</w:t>
      </w:r>
      <w:r w:rsidR="000E1810">
        <w:t xml:space="preserve">bec někde takový stav). Naopak </w:t>
      </w:r>
      <w:r>
        <w:t xml:space="preserve">v sobě skýtá  úctyhodnou potenciální sílu. K jejímuž uvolnění může (ale i nemusí) dojít – třeba už po sestavení příští vlády.  </w:t>
      </w:r>
    </w:p>
    <w:p w:rsidR="00630722" w:rsidRDefault="00630722" w:rsidP="00F70D77">
      <w:pPr>
        <w:pStyle w:val="Bezmezer"/>
        <w:ind w:firstLine="227"/>
        <w:jc w:val="both"/>
      </w:pPr>
    </w:p>
    <w:p w:rsidR="00630722" w:rsidRPr="00152645" w:rsidRDefault="00630722" w:rsidP="00F70D77">
      <w:pPr>
        <w:pStyle w:val="Bezmezer"/>
        <w:ind w:firstLine="227"/>
        <w:jc w:val="both"/>
        <w:rPr>
          <w:b/>
        </w:rPr>
      </w:pPr>
      <w:r w:rsidRPr="00152645">
        <w:rPr>
          <w:b/>
        </w:rPr>
        <w:t>Literatura:</w:t>
      </w:r>
    </w:p>
    <w:p w:rsidR="00BC5262" w:rsidRDefault="00BC5262" w:rsidP="00BC5262">
      <w:pPr>
        <w:pStyle w:val="Bezmezer"/>
        <w:jc w:val="both"/>
        <w:rPr>
          <w:lang w:val="en-GB"/>
        </w:rPr>
      </w:pPr>
      <w:r>
        <w:rPr>
          <w:lang w:val="en-GB"/>
        </w:rPr>
        <w:t xml:space="preserve">Keating, M. (2003): </w:t>
      </w:r>
      <w:r w:rsidRPr="00BC5262">
        <w:rPr>
          <w:i/>
          <w:lang w:val="en-GB"/>
        </w:rPr>
        <w:t>The New Regionalism in Western Europe</w:t>
      </w:r>
      <w:r>
        <w:rPr>
          <w:lang w:val="en-GB"/>
        </w:rPr>
        <w:t>. Edward Elgar Publishing, UK.</w:t>
      </w:r>
    </w:p>
    <w:p w:rsidR="00BC5262" w:rsidRDefault="00BC5262" w:rsidP="00BC5262">
      <w:pPr>
        <w:pStyle w:val="Bezmezer"/>
        <w:jc w:val="both"/>
        <w:rPr>
          <w:lang w:val="en-GB"/>
        </w:rPr>
      </w:pPr>
      <w:proofErr w:type="spellStart"/>
      <w:r>
        <w:rPr>
          <w:lang w:val="en-GB"/>
        </w:rPr>
        <w:t>Liebfritz</w:t>
      </w:r>
      <w:proofErr w:type="spellEnd"/>
      <w:r>
        <w:rPr>
          <w:lang w:val="en-GB"/>
        </w:rPr>
        <w:t xml:space="preserve">, W. (2009): </w:t>
      </w:r>
      <w:r w:rsidRPr="004A4F63">
        <w:rPr>
          <w:i/>
          <w:lang w:val="en-GB"/>
        </w:rPr>
        <w:t>Fiscal Federalism in Belgium: Main Challenges and Considerations for Reform</w:t>
      </w:r>
      <w:r>
        <w:rPr>
          <w:lang w:val="en-GB"/>
        </w:rPr>
        <w:t>. OECD Economics Department Working Papers, No. 743</w:t>
      </w:r>
    </w:p>
    <w:p w:rsidR="00BC5262" w:rsidRDefault="00BC5262" w:rsidP="00BC5262">
      <w:pPr>
        <w:pStyle w:val="Bezmezer"/>
        <w:jc w:val="both"/>
        <w:rPr>
          <w:lang w:val="en-GB"/>
        </w:rPr>
      </w:pPr>
      <w:r>
        <w:rPr>
          <w:lang w:val="en-GB"/>
        </w:rPr>
        <w:t xml:space="preserve">Hong, Y., O. (2002): </w:t>
      </w:r>
      <w:r w:rsidRPr="00BC5262">
        <w:rPr>
          <w:i/>
          <w:lang w:val="en-GB"/>
        </w:rPr>
        <w:t>Federalism, Fiscal Centralization and Partisan Competition</w:t>
      </w:r>
      <w:r>
        <w:rPr>
          <w:lang w:val="en-GB"/>
        </w:rPr>
        <w:t xml:space="preserve">. </w:t>
      </w:r>
      <w:proofErr w:type="spellStart"/>
      <w:r>
        <w:rPr>
          <w:lang w:val="en-GB"/>
        </w:rPr>
        <w:t>Ph.D</w:t>
      </w:r>
      <w:proofErr w:type="spellEnd"/>
      <w:r>
        <w:rPr>
          <w:lang w:val="en-GB"/>
        </w:rPr>
        <w:t xml:space="preserve"> Dissertation, The University of Michigan. </w:t>
      </w:r>
      <w:r w:rsidRPr="00152645">
        <w:rPr>
          <w:lang w:val="en-US"/>
        </w:rPr>
        <w:t>[</w:t>
      </w:r>
      <w:proofErr w:type="spellStart"/>
      <w:r>
        <w:rPr>
          <w:lang w:val="en-GB"/>
        </w:rPr>
        <w:t>N</w:t>
      </w:r>
      <w:r w:rsidRPr="00152645">
        <w:rPr>
          <w:lang w:val="en-GB"/>
        </w:rPr>
        <w:t>epublikováno</w:t>
      </w:r>
      <w:proofErr w:type="spellEnd"/>
      <w:r w:rsidRPr="00152645">
        <w:rPr>
          <w:lang w:val="en-US"/>
        </w:rPr>
        <w:t>]</w:t>
      </w:r>
      <w:r w:rsidRPr="00152645">
        <w:rPr>
          <w:lang w:val="en-GB"/>
        </w:rPr>
        <w:t xml:space="preserve"> </w:t>
      </w:r>
    </w:p>
    <w:p w:rsidR="00BC5262" w:rsidRDefault="00BC5262" w:rsidP="00BC5262">
      <w:pPr>
        <w:pStyle w:val="Bezmezer"/>
        <w:jc w:val="both"/>
        <w:rPr>
          <w:lang w:val="en-GB"/>
        </w:rPr>
      </w:pPr>
      <w:proofErr w:type="spellStart"/>
      <w:r w:rsidRPr="004A4F63">
        <w:rPr>
          <w:lang w:val="en-GB"/>
        </w:rPr>
        <w:t>Swenden</w:t>
      </w:r>
      <w:proofErr w:type="spellEnd"/>
      <w:r w:rsidRPr="004A4F63">
        <w:rPr>
          <w:lang w:val="en-GB"/>
        </w:rPr>
        <w:t xml:space="preserve">, W.; </w:t>
      </w:r>
      <w:proofErr w:type="spellStart"/>
      <w:r w:rsidRPr="004A4F63">
        <w:rPr>
          <w:lang w:val="en-GB"/>
        </w:rPr>
        <w:t>Brans</w:t>
      </w:r>
      <w:proofErr w:type="spellEnd"/>
      <w:r w:rsidRPr="004A4F63">
        <w:rPr>
          <w:lang w:val="en-GB"/>
        </w:rPr>
        <w:t xml:space="preserve">, M.; Winter, L. (2006): The Politics of Belgium: Institutions and Policy under Bipolar and Centrifugal Federalism. </w:t>
      </w:r>
      <w:r w:rsidRPr="004A4F63">
        <w:rPr>
          <w:i/>
          <w:lang w:val="en-GB"/>
        </w:rPr>
        <w:t>West European Politics</w:t>
      </w:r>
      <w:r w:rsidRPr="004A4F63">
        <w:rPr>
          <w:lang w:val="en-GB"/>
        </w:rPr>
        <w:t>, vol. 29, no. 5, pp. 877-894</w:t>
      </w:r>
    </w:p>
    <w:p w:rsidR="00BC5262" w:rsidRPr="004A4F63" w:rsidRDefault="00BC5262" w:rsidP="00BC5262">
      <w:pPr>
        <w:pStyle w:val="Bezmezer"/>
        <w:jc w:val="both"/>
        <w:rPr>
          <w:lang w:val="en-GB"/>
        </w:rPr>
      </w:pPr>
      <w:proofErr w:type="spellStart"/>
      <w:r w:rsidRPr="004A4F63">
        <w:rPr>
          <w:lang w:val="en-GB"/>
        </w:rPr>
        <w:t>Swenden</w:t>
      </w:r>
      <w:proofErr w:type="spellEnd"/>
      <w:r w:rsidRPr="004A4F63">
        <w:rPr>
          <w:lang w:val="en-GB"/>
        </w:rPr>
        <w:t xml:space="preserve">, W.; </w:t>
      </w:r>
      <w:proofErr w:type="spellStart"/>
      <w:r w:rsidRPr="004A4F63">
        <w:rPr>
          <w:lang w:val="en-GB"/>
        </w:rPr>
        <w:t>Jans</w:t>
      </w:r>
      <w:proofErr w:type="spellEnd"/>
      <w:r w:rsidRPr="004A4F63">
        <w:rPr>
          <w:lang w:val="en-GB"/>
        </w:rPr>
        <w:t xml:space="preserve">, M., T. (2006): ‘Will it Star or Will it go?‘ Federalism and the </w:t>
      </w:r>
      <w:proofErr w:type="spellStart"/>
      <w:r w:rsidRPr="004A4F63">
        <w:rPr>
          <w:lang w:val="en-GB"/>
        </w:rPr>
        <w:t>Sustainbility</w:t>
      </w:r>
      <w:proofErr w:type="spellEnd"/>
      <w:r w:rsidRPr="004A4F63">
        <w:rPr>
          <w:lang w:val="en-GB"/>
        </w:rPr>
        <w:t xml:space="preserve"> of Belgium. </w:t>
      </w:r>
      <w:r w:rsidRPr="004A4F63">
        <w:rPr>
          <w:i/>
          <w:lang w:val="en-GB"/>
        </w:rPr>
        <w:t>West European Politics</w:t>
      </w:r>
      <w:r w:rsidRPr="004A4F63">
        <w:rPr>
          <w:lang w:val="en-GB"/>
        </w:rPr>
        <w:t xml:space="preserve">, vol. 29, no. 5, pp. 877-894 </w:t>
      </w:r>
    </w:p>
    <w:p w:rsidR="00152645" w:rsidRDefault="00152645" w:rsidP="00F70D77">
      <w:pPr>
        <w:pStyle w:val="Bezmezer"/>
        <w:ind w:firstLine="227"/>
        <w:jc w:val="both"/>
        <w:rPr>
          <w:lang w:val="en-GB"/>
        </w:rPr>
      </w:pPr>
    </w:p>
    <w:p w:rsidR="00152645" w:rsidRPr="00152645" w:rsidRDefault="00152645" w:rsidP="00F70D77">
      <w:pPr>
        <w:pStyle w:val="Bezmezer"/>
        <w:ind w:firstLine="227"/>
        <w:jc w:val="both"/>
        <w:rPr>
          <w:b/>
          <w:i/>
          <w:lang w:val="en-GB"/>
        </w:rPr>
      </w:pPr>
      <w:proofErr w:type="spellStart"/>
      <w:r w:rsidRPr="00152645">
        <w:rPr>
          <w:b/>
          <w:lang w:val="en-GB"/>
        </w:rPr>
        <w:t>Elektronické</w:t>
      </w:r>
      <w:proofErr w:type="spellEnd"/>
      <w:r w:rsidRPr="00152645">
        <w:rPr>
          <w:b/>
          <w:lang w:val="en-GB"/>
        </w:rPr>
        <w:t xml:space="preserve"> </w:t>
      </w:r>
      <w:proofErr w:type="spellStart"/>
      <w:r w:rsidRPr="00152645">
        <w:rPr>
          <w:b/>
          <w:lang w:val="en-GB"/>
        </w:rPr>
        <w:t>zdroje</w:t>
      </w:r>
      <w:proofErr w:type="spellEnd"/>
      <w:r w:rsidRPr="00152645">
        <w:rPr>
          <w:b/>
          <w:lang w:val="en-GB"/>
        </w:rPr>
        <w:t>:</w:t>
      </w:r>
    </w:p>
    <w:p w:rsidR="004A4F63" w:rsidRDefault="004A4F63" w:rsidP="00621A15">
      <w:pPr>
        <w:pStyle w:val="Bezmezer"/>
        <w:jc w:val="both"/>
        <w:rPr>
          <w:lang w:val="en-US"/>
        </w:rPr>
      </w:pPr>
      <w:proofErr w:type="spellStart"/>
      <w:r w:rsidRPr="00152645">
        <w:rPr>
          <w:lang w:val="en-GB"/>
        </w:rPr>
        <w:t>Stichele</w:t>
      </w:r>
      <w:proofErr w:type="spellEnd"/>
      <w:r w:rsidRPr="00152645">
        <w:rPr>
          <w:lang w:val="en-GB"/>
        </w:rPr>
        <w:t>, G.</w:t>
      </w:r>
      <w:r w:rsidRPr="00152645">
        <w:rPr>
          <w:lang w:val="en-US"/>
        </w:rPr>
        <w:t>;</w:t>
      </w:r>
      <w:r w:rsidRPr="00152645">
        <w:t xml:space="preserve"> </w:t>
      </w:r>
      <w:proofErr w:type="spellStart"/>
      <w:r w:rsidRPr="00152645">
        <w:t>Verdonck</w:t>
      </w:r>
      <w:proofErr w:type="spellEnd"/>
      <w:r w:rsidRPr="00152645">
        <w:t xml:space="preserve">, M. (2002): </w:t>
      </w:r>
      <w:proofErr w:type="spellStart"/>
      <w:r w:rsidRPr="00152645">
        <w:rPr>
          <w:i/>
        </w:rPr>
        <w:t>The</w:t>
      </w:r>
      <w:proofErr w:type="spellEnd"/>
      <w:r w:rsidRPr="00152645">
        <w:rPr>
          <w:i/>
        </w:rPr>
        <w:t xml:space="preserve"> </w:t>
      </w:r>
      <w:proofErr w:type="spellStart"/>
      <w:r w:rsidRPr="00152645">
        <w:rPr>
          <w:i/>
        </w:rPr>
        <w:t>Lambermont</w:t>
      </w:r>
      <w:proofErr w:type="spellEnd"/>
      <w:r w:rsidRPr="00152645">
        <w:rPr>
          <w:i/>
        </w:rPr>
        <w:t xml:space="preserve"> </w:t>
      </w:r>
      <w:proofErr w:type="spellStart"/>
      <w:r w:rsidRPr="00152645">
        <w:rPr>
          <w:i/>
        </w:rPr>
        <w:t>Agreement</w:t>
      </w:r>
      <w:proofErr w:type="spellEnd"/>
      <w:r w:rsidRPr="00152645">
        <w:rPr>
          <w:i/>
        </w:rPr>
        <w:t>:</w:t>
      </w:r>
      <w:r w:rsidR="00152645" w:rsidRPr="00152645">
        <w:rPr>
          <w:i/>
        </w:rPr>
        <w:t xml:space="preserve"> </w:t>
      </w:r>
      <w:proofErr w:type="spellStart"/>
      <w:r w:rsidRPr="00152645">
        <w:rPr>
          <w:i/>
        </w:rPr>
        <w:t>Why</w:t>
      </w:r>
      <w:proofErr w:type="spellEnd"/>
      <w:r w:rsidRPr="00152645">
        <w:rPr>
          <w:i/>
        </w:rPr>
        <w:t xml:space="preserve"> </w:t>
      </w:r>
      <w:proofErr w:type="spellStart"/>
      <w:r w:rsidRPr="00152645">
        <w:rPr>
          <w:i/>
        </w:rPr>
        <w:t>and</w:t>
      </w:r>
      <w:proofErr w:type="spellEnd"/>
      <w:r w:rsidRPr="00152645">
        <w:rPr>
          <w:i/>
        </w:rPr>
        <w:t xml:space="preserve"> </w:t>
      </w:r>
      <w:proofErr w:type="spellStart"/>
      <w:r w:rsidRPr="00152645">
        <w:rPr>
          <w:i/>
        </w:rPr>
        <w:t>How</w:t>
      </w:r>
      <w:proofErr w:type="spellEnd"/>
      <w:r w:rsidRPr="00152645">
        <w:rPr>
          <w:i/>
        </w:rPr>
        <w:t>?</w:t>
      </w:r>
      <w:r w:rsidR="00152645">
        <w:rPr>
          <w:i/>
        </w:rPr>
        <w:t xml:space="preserve"> </w:t>
      </w:r>
      <w:r w:rsidR="00152645" w:rsidRPr="00152645">
        <w:t xml:space="preserve">http:// www.desequilibrefiscal.gouv.qc.ca/en/pdf/Verdonck.pdf </w:t>
      </w:r>
      <w:r w:rsidR="00152645" w:rsidRPr="00152645">
        <w:rPr>
          <w:lang w:val="en-US"/>
        </w:rPr>
        <w:t>[online 25. 4. 2011]</w:t>
      </w:r>
    </w:p>
    <w:p w:rsidR="00152645" w:rsidRPr="00152645" w:rsidRDefault="00152645" w:rsidP="004A4F63">
      <w:pPr>
        <w:pStyle w:val="Bezmezer"/>
        <w:ind w:firstLine="227"/>
        <w:jc w:val="both"/>
      </w:pPr>
      <w:r w:rsidRPr="00FD46A1">
        <w:t>http://www.npr.org/</w:t>
      </w:r>
    </w:p>
    <w:sectPr w:rsidR="00152645" w:rsidRPr="00152645" w:rsidSect="00FB67B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624" w:rsidRDefault="00443624">
      <w:r>
        <w:separator/>
      </w:r>
    </w:p>
  </w:endnote>
  <w:endnote w:type="continuationSeparator" w:id="0">
    <w:p w:rsidR="00443624" w:rsidRDefault="00443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77" w:rsidRDefault="0055602B" w:rsidP="00B50B7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70D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0D77" w:rsidRDefault="00F70D7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77" w:rsidRDefault="0055602B" w:rsidP="00B50B7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70D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45AF">
      <w:rPr>
        <w:rStyle w:val="slostrnky"/>
        <w:noProof/>
      </w:rPr>
      <w:t>1</w:t>
    </w:r>
    <w:r>
      <w:rPr>
        <w:rStyle w:val="slostrnky"/>
      </w:rPr>
      <w:fldChar w:fldCharType="end"/>
    </w:r>
  </w:p>
  <w:p w:rsidR="00F70D77" w:rsidRDefault="00F70D7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624" w:rsidRDefault="00443624">
      <w:r>
        <w:separator/>
      </w:r>
    </w:p>
  </w:footnote>
  <w:footnote w:type="continuationSeparator" w:id="0">
    <w:p w:rsidR="00443624" w:rsidRDefault="00443624">
      <w:r>
        <w:continuationSeparator/>
      </w:r>
    </w:p>
  </w:footnote>
  <w:footnote w:id="1">
    <w:p w:rsidR="00F70D77" w:rsidRDefault="00F70D77">
      <w:pPr>
        <w:pStyle w:val="Textpoznpodarou"/>
      </w:pPr>
      <w:r>
        <w:rPr>
          <w:rStyle w:val="Znakapoznpodarou"/>
        </w:rPr>
        <w:footnoteRef/>
      </w:r>
      <w:r>
        <w:t xml:space="preserve"> V jednotě spočívá síla</w:t>
      </w:r>
    </w:p>
  </w:footnote>
  <w:footnote w:id="2">
    <w:p w:rsidR="00F70D77" w:rsidRPr="00FD46A1" w:rsidRDefault="00F70D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D46A1" w:rsidRPr="00FD46A1">
        <w:t>http://www.npr.org/2011/04/09/135266035/-300-days-without-government-no-worry-for-belgium</w:t>
      </w:r>
      <w:r w:rsidR="00FD46A1">
        <w:t xml:space="preserve"> </w:t>
      </w:r>
      <w:r w:rsidR="00FD46A1">
        <w:rPr>
          <w:lang w:val="en-US"/>
        </w:rPr>
        <w:t>[</w:t>
      </w:r>
      <w:r w:rsidR="00FD46A1">
        <w:t>online 25. 4. 2011</w:t>
      </w:r>
      <w:r w:rsidR="00FD46A1">
        <w:rPr>
          <w:lang w:val="en-US"/>
        </w:rPr>
        <w:t>]</w:t>
      </w:r>
    </w:p>
  </w:footnote>
  <w:footnote w:id="3">
    <w:p w:rsidR="00F70D77" w:rsidRDefault="00F70D77" w:rsidP="00140B0F">
      <w:pPr>
        <w:pStyle w:val="Bezmezer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155858">
        <w:t>Kurzívou jsou označeny daně, které nebyly reformou z roku 2001 dotčeny.</w:t>
      </w:r>
    </w:p>
    <w:p w:rsidR="00F70D77" w:rsidRDefault="00F70D77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FAE"/>
    <w:multiLevelType w:val="hybridMultilevel"/>
    <w:tmpl w:val="06460FA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0D690D"/>
    <w:multiLevelType w:val="hybridMultilevel"/>
    <w:tmpl w:val="BAE432E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BC106D"/>
    <w:multiLevelType w:val="hybridMultilevel"/>
    <w:tmpl w:val="B8F87DE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0B6B74"/>
    <w:multiLevelType w:val="hybridMultilevel"/>
    <w:tmpl w:val="AC56FE1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23583C"/>
    <w:multiLevelType w:val="hybridMultilevel"/>
    <w:tmpl w:val="FDE86CE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1C1647"/>
    <w:multiLevelType w:val="hybridMultilevel"/>
    <w:tmpl w:val="92E27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FCE"/>
    <w:rsid w:val="00020A17"/>
    <w:rsid w:val="0002537A"/>
    <w:rsid w:val="000332C5"/>
    <w:rsid w:val="00036B87"/>
    <w:rsid w:val="00040404"/>
    <w:rsid w:val="00050E69"/>
    <w:rsid w:val="00052474"/>
    <w:rsid w:val="0005653B"/>
    <w:rsid w:val="00057427"/>
    <w:rsid w:val="000607C4"/>
    <w:rsid w:val="000825AC"/>
    <w:rsid w:val="000843C6"/>
    <w:rsid w:val="00096BD6"/>
    <w:rsid w:val="000E1810"/>
    <w:rsid w:val="000E2791"/>
    <w:rsid w:val="0011411F"/>
    <w:rsid w:val="0013559E"/>
    <w:rsid w:val="00140B0F"/>
    <w:rsid w:val="00143ECD"/>
    <w:rsid w:val="0014447B"/>
    <w:rsid w:val="00152645"/>
    <w:rsid w:val="00155858"/>
    <w:rsid w:val="00171570"/>
    <w:rsid w:val="00173CE7"/>
    <w:rsid w:val="0018574C"/>
    <w:rsid w:val="001A239E"/>
    <w:rsid w:val="001B5DBC"/>
    <w:rsid w:val="001D0629"/>
    <w:rsid w:val="001D3B59"/>
    <w:rsid w:val="001F678C"/>
    <w:rsid w:val="002317EE"/>
    <w:rsid w:val="002469DD"/>
    <w:rsid w:val="00251274"/>
    <w:rsid w:val="00267FEA"/>
    <w:rsid w:val="00271DBF"/>
    <w:rsid w:val="00275528"/>
    <w:rsid w:val="00281E38"/>
    <w:rsid w:val="00283711"/>
    <w:rsid w:val="002869A1"/>
    <w:rsid w:val="00293714"/>
    <w:rsid w:val="002B4371"/>
    <w:rsid w:val="002B658E"/>
    <w:rsid w:val="002C0C1B"/>
    <w:rsid w:val="002C6BC8"/>
    <w:rsid w:val="002D1443"/>
    <w:rsid w:val="002F1043"/>
    <w:rsid w:val="002F2B3B"/>
    <w:rsid w:val="003104B8"/>
    <w:rsid w:val="00357CC9"/>
    <w:rsid w:val="00363355"/>
    <w:rsid w:val="00375AFF"/>
    <w:rsid w:val="00375EC5"/>
    <w:rsid w:val="00384921"/>
    <w:rsid w:val="003B4494"/>
    <w:rsid w:val="003C283C"/>
    <w:rsid w:val="003E00E9"/>
    <w:rsid w:val="003E60A0"/>
    <w:rsid w:val="00417A3F"/>
    <w:rsid w:val="00417C80"/>
    <w:rsid w:val="00430674"/>
    <w:rsid w:val="00443624"/>
    <w:rsid w:val="0045021B"/>
    <w:rsid w:val="00456443"/>
    <w:rsid w:val="00456DAD"/>
    <w:rsid w:val="00486884"/>
    <w:rsid w:val="00494FA8"/>
    <w:rsid w:val="004A4F63"/>
    <w:rsid w:val="004B1AEF"/>
    <w:rsid w:val="00526A97"/>
    <w:rsid w:val="005411C3"/>
    <w:rsid w:val="00544B9B"/>
    <w:rsid w:val="0055602B"/>
    <w:rsid w:val="00557FB7"/>
    <w:rsid w:val="005640D9"/>
    <w:rsid w:val="005732FC"/>
    <w:rsid w:val="00593EA9"/>
    <w:rsid w:val="005A3352"/>
    <w:rsid w:val="005A6647"/>
    <w:rsid w:val="005B5B98"/>
    <w:rsid w:val="005B6B31"/>
    <w:rsid w:val="005C09EB"/>
    <w:rsid w:val="005E2B8B"/>
    <w:rsid w:val="005F3B5D"/>
    <w:rsid w:val="006120E3"/>
    <w:rsid w:val="00621A15"/>
    <w:rsid w:val="0062273D"/>
    <w:rsid w:val="00625062"/>
    <w:rsid w:val="006273EE"/>
    <w:rsid w:val="00630722"/>
    <w:rsid w:val="006339A5"/>
    <w:rsid w:val="00641D75"/>
    <w:rsid w:val="006720EF"/>
    <w:rsid w:val="006816EA"/>
    <w:rsid w:val="00687EF7"/>
    <w:rsid w:val="0069132C"/>
    <w:rsid w:val="006B2C0C"/>
    <w:rsid w:val="00740EB7"/>
    <w:rsid w:val="0075663E"/>
    <w:rsid w:val="00761EC1"/>
    <w:rsid w:val="007B15D8"/>
    <w:rsid w:val="007B58B0"/>
    <w:rsid w:val="007B5980"/>
    <w:rsid w:val="007C5DA6"/>
    <w:rsid w:val="007D49E4"/>
    <w:rsid w:val="007D5F93"/>
    <w:rsid w:val="007E1779"/>
    <w:rsid w:val="007E3086"/>
    <w:rsid w:val="00802688"/>
    <w:rsid w:val="00805E3E"/>
    <w:rsid w:val="008074CD"/>
    <w:rsid w:val="00833F9B"/>
    <w:rsid w:val="008373FD"/>
    <w:rsid w:val="00841D9A"/>
    <w:rsid w:val="00845275"/>
    <w:rsid w:val="008509E5"/>
    <w:rsid w:val="0085737D"/>
    <w:rsid w:val="00873310"/>
    <w:rsid w:val="00892C79"/>
    <w:rsid w:val="008D0633"/>
    <w:rsid w:val="008D21A4"/>
    <w:rsid w:val="008F0BB1"/>
    <w:rsid w:val="0090643F"/>
    <w:rsid w:val="00925A04"/>
    <w:rsid w:val="0094098A"/>
    <w:rsid w:val="00943269"/>
    <w:rsid w:val="009547C5"/>
    <w:rsid w:val="00956C69"/>
    <w:rsid w:val="00976D6E"/>
    <w:rsid w:val="009953F2"/>
    <w:rsid w:val="0099563E"/>
    <w:rsid w:val="009A45AF"/>
    <w:rsid w:val="009A4A18"/>
    <w:rsid w:val="009B5F1D"/>
    <w:rsid w:val="009B7135"/>
    <w:rsid w:val="009D7F57"/>
    <w:rsid w:val="009E01DE"/>
    <w:rsid w:val="009E36B2"/>
    <w:rsid w:val="009E743D"/>
    <w:rsid w:val="009F067E"/>
    <w:rsid w:val="009F2B95"/>
    <w:rsid w:val="009F709A"/>
    <w:rsid w:val="00A20F71"/>
    <w:rsid w:val="00A21E56"/>
    <w:rsid w:val="00A34690"/>
    <w:rsid w:val="00A47757"/>
    <w:rsid w:val="00A70E02"/>
    <w:rsid w:val="00A951B3"/>
    <w:rsid w:val="00A970F4"/>
    <w:rsid w:val="00AA3FD1"/>
    <w:rsid w:val="00AB0106"/>
    <w:rsid w:val="00AB1888"/>
    <w:rsid w:val="00AC19D1"/>
    <w:rsid w:val="00AD7EBF"/>
    <w:rsid w:val="00AE7696"/>
    <w:rsid w:val="00AF6CDF"/>
    <w:rsid w:val="00AF7951"/>
    <w:rsid w:val="00B11790"/>
    <w:rsid w:val="00B15FAF"/>
    <w:rsid w:val="00B20F2E"/>
    <w:rsid w:val="00B243C4"/>
    <w:rsid w:val="00B50B75"/>
    <w:rsid w:val="00B554AE"/>
    <w:rsid w:val="00B62043"/>
    <w:rsid w:val="00B669BC"/>
    <w:rsid w:val="00B707C7"/>
    <w:rsid w:val="00B7222B"/>
    <w:rsid w:val="00B73DE0"/>
    <w:rsid w:val="00B94A05"/>
    <w:rsid w:val="00B96340"/>
    <w:rsid w:val="00BC3FCE"/>
    <w:rsid w:val="00BC5262"/>
    <w:rsid w:val="00BD61E2"/>
    <w:rsid w:val="00BE56C3"/>
    <w:rsid w:val="00BF04AE"/>
    <w:rsid w:val="00C00088"/>
    <w:rsid w:val="00C05BD0"/>
    <w:rsid w:val="00C12D54"/>
    <w:rsid w:val="00C17732"/>
    <w:rsid w:val="00C27394"/>
    <w:rsid w:val="00C50D3D"/>
    <w:rsid w:val="00C602A3"/>
    <w:rsid w:val="00C66D5B"/>
    <w:rsid w:val="00C83897"/>
    <w:rsid w:val="00C861C1"/>
    <w:rsid w:val="00CA44FA"/>
    <w:rsid w:val="00CD0311"/>
    <w:rsid w:val="00D01703"/>
    <w:rsid w:val="00D21A96"/>
    <w:rsid w:val="00D36582"/>
    <w:rsid w:val="00D539B7"/>
    <w:rsid w:val="00D545BC"/>
    <w:rsid w:val="00D671AE"/>
    <w:rsid w:val="00D75149"/>
    <w:rsid w:val="00D762DF"/>
    <w:rsid w:val="00D77C33"/>
    <w:rsid w:val="00D83C5F"/>
    <w:rsid w:val="00DC38C6"/>
    <w:rsid w:val="00DD044F"/>
    <w:rsid w:val="00DE0163"/>
    <w:rsid w:val="00DE20C7"/>
    <w:rsid w:val="00E024CE"/>
    <w:rsid w:val="00E11A4A"/>
    <w:rsid w:val="00E20D8D"/>
    <w:rsid w:val="00E2445B"/>
    <w:rsid w:val="00E379EB"/>
    <w:rsid w:val="00E42ABB"/>
    <w:rsid w:val="00E50284"/>
    <w:rsid w:val="00E504B5"/>
    <w:rsid w:val="00E86902"/>
    <w:rsid w:val="00EA7E66"/>
    <w:rsid w:val="00EB1392"/>
    <w:rsid w:val="00EB4C93"/>
    <w:rsid w:val="00EC680A"/>
    <w:rsid w:val="00EE188F"/>
    <w:rsid w:val="00EE7BA2"/>
    <w:rsid w:val="00F004A8"/>
    <w:rsid w:val="00F0446D"/>
    <w:rsid w:val="00F320D5"/>
    <w:rsid w:val="00F50CDB"/>
    <w:rsid w:val="00F51788"/>
    <w:rsid w:val="00F70D77"/>
    <w:rsid w:val="00F81D77"/>
    <w:rsid w:val="00F83C3F"/>
    <w:rsid w:val="00F846C5"/>
    <w:rsid w:val="00F93E94"/>
    <w:rsid w:val="00F94ECD"/>
    <w:rsid w:val="00FA7D34"/>
    <w:rsid w:val="00FB4F1B"/>
    <w:rsid w:val="00FB67BA"/>
    <w:rsid w:val="00FC5186"/>
    <w:rsid w:val="00FD16CD"/>
    <w:rsid w:val="00FD46A1"/>
    <w:rsid w:val="00FD5699"/>
    <w:rsid w:val="00FF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67B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339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l">
    <w:name w:val="gl"/>
    <w:basedOn w:val="Standardnpsmoodstavce"/>
    <w:rsid w:val="00DD044F"/>
  </w:style>
  <w:style w:type="character" w:styleId="Hypertextovodkaz">
    <w:name w:val="Hyperlink"/>
    <w:basedOn w:val="Standardnpsmoodstavce"/>
    <w:rsid w:val="00DD044F"/>
    <w:rPr>
      <w:color w:val="0000FF"/>
      <w:u w:val="single"/>
    </w:rPr>
  </w:style>
  <w:style w:type="paragraph" w:styleId="Zpat">
    <w:name w:val="footer"/>
    <w:basedOn w:val="Normln"/>
    <w:rsid w:val="005A335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A3352"/>
  </w:style>
  <w:style w:type="table" w:styleId="Mkatabulky">
    <w:name w:val="Table Grid"/>
    <w:basedOn w:val="Normlntabulka"/>
    <w:rsid w:val="001A2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basedOn w:val="Standardnpsmoodstavce"/>
    <w:uiPriority w:val="20"/>
    <w:qFormat/>
    <w:rsid w:val="00F81D77"/>
    <w:rPr>
      <w:i/>
      <w:iCs/>
    </w:rPr>
  </w:style>
  <w:style w:type="paragraph" w:styleId="Bezmezer">
    <w:name w:val="No Spacing"/>
    <w:uiPriority w:val="1"/>
    <w:qFormat/>
    <w:rsid w:val="009B7135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2469D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469DD"/>
  </w:style>
  <w:style w:type="character" w:styleId="Znakapoznpodarou">
    <w:name w:val="footnote reference"/>
    <w:basedOn w:val="Standardnpsmoodstavce"/>
    <w:rsid w:val="002469DD"/>
    <w:rPr>
      <w:vertAlign w:val="superscript"/>
    </w:rPr>
  </w:style>
  <w:style w:type="table" w:styleId="Stednstnovn2zvraznn2">
    <w:name w:val="Medium Shading 2 Accent 2"/>
    <w:basedOn w:val="Normlntabulka"/>
    <w:uiPriority w:val="64"/>
    <w:rsid w:val="00D21A9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unhideWhenUsed/>
    <w:qFormat/>
    <w:rsid w:val="00D21A96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rsid w:val="00F70D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70D7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633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4709E-C6B7-45B4-8CF0-7B0698C9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2709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Finanční aspekty španělské decentralizace a její vliv na regionální rozvoj</vt:lpstr>
    </vt:vector>
  </TitlesOfParts>
  <Company/>
  <LinksUpToDate>false</LinksUpToDate>
  <CharactersWithSpaces>18658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Finanční aspekty španělské decentralizace a její vliv na regionální rozvoj</dc:title>
  <dc:creator>Unz</dc:creator>
  <cp:lastModifiedBy>Unz</cp:lastModifiedBy>
  <cp:revision>2</cp:revision>
  <dcterms:created xsi:type="dcterms:W3CDTF">2012-03-09T10:05:00Z</dcterms:created>
  <dcterms:modified xsi:type="dcterms:W3CDTF">2012-03-09T10:05:00Z</dcterms:modified>
</cp:coreProperties>
</file>